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8077B8" w14:textId="3BAD0E66" w:rsidR="00732967" w:rsidRPr="00BF0527" w:rsidRDefault="00E712EA" w:rsidP="00F5702A">
      <w:pPr>
        <w:tabs>
          <w:tab w:val="left" w:pos="3105"/>
        </w:tabs>
        <w:rPr>
          <w:lang w:val="en-GB"/>
        </w:rPr>
      </w:pPr>
      <w:r w:rsidRPr="00BF0527">
        <w:rPr>
          <w:lang w:val="en-GB"/>
        </w:rPr>
        <w:t>Anex</w:t>
      </w:r>
      <w:r w:rsidR="003B0E7B" w:rsidRPr="00BF0527">
        <w:rPr>
          <w:lang w:val="en-GB"/>
        </w:rPr>
        <w:t xml:space="preserve">o </w:t>
      </w:r>
      <w:r w:rsidR="003D5502">
        <w:rPr>
          <w:lang w:val="en-GB"/>
        </w:rPr>
        <w:t>9</w:t>
      </w:r>
      <w:r w:rsidRPr="00BF0527">
        <w:rPr>
          <w:lang w:val="en-GB"/>
        </w:rPr>
        <w:t xml:space="preserve">. </w:t>
      </w:r>
      <w:proofErr w:type="spellStart"/>
      <w:r w:rsidR="007356D4" w:rsidRPr="00BF0527">
        <w:rPr>
          <w:lang w:val="en-GB"/>
        </w:rPr>
        <w:t>Definiciones</w:t>
      </w:r>
      <w:proofErr w:type="spellEnd"/>
      <w:r w:rsidR="00F54DA7" w:rsidRPr="00BF0527">
        <w:rPr>
          <w:lang w:val="en-GB"/>
        </w:rPr>
        <w:t>.</w:t>
      </w:r>
    </w:p>
    <w:p w14:paraId="1A8077B9" w14:textId="325BB2D9" w:rsidR="00F5702A" w:rsidRPr="00BF0527" w:rsidRDefault="00F5702A">
      <w:pPr>
        <w:rPr>
          <w:lang w:val="en-GB"/>
        </w:rPr>
      </w:pPr>
      <w:r w:rsidRPr="00BF0527">
        <w:rPr>
          <w:lang w:val="en-GB"/>
        </w:rPr>
        <w:t xml:space="preserve">Annex </w:t>
      </w:r>
      <w:r w:rsidR="003D5502">
        <w:rPr>
          <w:lang w:val="en-GB"/>
        </w:rPr>
        <w:t>9</w:t>
      </w:r>
      <w:r w:rsidRPr="00BF0527">
        <w:rPr>
          <w:lang w:val="en-GB"/>
        </w:rPr>
        <w:t>. Definitions.</w:t>
      </w:r>
    </w:p>
    <w:p w14:paraId="1A8077BA" w14:textId="77777777" w:rsidR="007356D4" w:rsidRPr="00BF0527" w:rsidRDefault="007356D4">
      <w:pPr>
        <w:rPr>
          <w:lang w:val="en-GB"/>
        </w:rPr>
      </w:pPr>
    </w:p>
    <w:tbl>
      <w:tblPr>
        <w:tblStyle w:val="TableGrid"/>
        <w:tblW w:w="14740" w:type="dxa"/>
        <w:tblLook w:val="04A0" w:firstRow="1" w:lastRow="0" w:firstColumn="1" w:lastColumn="0" w:noHBand="0" w:noVBand="1"/>
      </w:tblPr>
      <w:tblGrid>
        <w:gridCol w:w="2268"/>
        <w:gridCol w:w="5102"/>
        <w:gridCol w:w="2268"/>
        <w:gridCol w:w="5102"/>
      </w:tblGrid>
      <w:tr w:rsidR="000A2B66" w:rsidRPr="00BF0527" w14:paraId="1493AA20" w14:textId="77777777" w:rsidTr="0014096A">
        <w:tc>
          <w:tcPr>
            <w:tcW w:w="2268" w:type="dxa"/>
          </w:tcPr>
          <w:p w14:paraId="1EC72C77" w14:textId="77777777" w:rsidR="000A2B66" w:rsidRPr="00BF0527" w:rsidRDefault="000A2B66" w:rsidP="00FE0EFB">
            <w:pPr>
              <w:rPr>
                <w:lang w:val="en-GB"/>
              </w:rPr>
            </w:pPr>
            <w:r w:rsidRPr="00ED4200">
              <w:rPr>
                <w:lang w:val="en-GB"/>
              </w:rPr>
              <w:t>Biodiversity hotspot</w:t>
            </w:r>
          </w:p>
        </w:tc>
        <w:tc>
          <w:tcPr>
            <w:tcW w:w="5102" w:type="dxa"/>
          </w:tcPr>
          <w:p w14:paraId="5A018455" w14:textId="77777777" w:rsidR="000A2B66" w:rsidRPr="00905F3B" w:rsidRDefault="000A2B66" w:rsidP="00FE0EFB">
            <w:pPr>
              <w:rPr>
                <w:lang w:val="en-GB"/>
              </w:rPr>
            </w:pPr>
            <w:r w:rsidRPr="00905F3B">
              <w:rPr>
                <w:lang w:val="en-GB"/>
              </w:rPr>
              <w:t>A region that feature exceptional concentrations of species with exceptional levels of endemism, and that face exceptional degrees of threat (Myers, 1988; Mittermeier et al., 1999).</w:t>
            </w:r>
          </w:p>
        </w:tc>
        <w:tc>
          <w:tcPr>
            <w:tcW w:w="2268" w:type="dxa"/>
          </w:tcPr>
          <w:p w14:paraId="073E8613" w14:textId="77777777" w:rsidR="000A2B66" w:rsidRPr="00BF0527" w:rsidRDefault="000A2B66" w:rsidP="00FE0EFB">
            <w:r>
              <w:t>Foco crítico de biodiversidad</w:t>
            </w:r>
          </w:p>
        </w:tc>
        <w:tc>
          <w:tcPr>
            <w:tcW w:w="5102" w:type="dxa"/>
          </w:tcPr>
          <w:p w14:paraId="04AA4E8A" w14:textId="77777777" w:rsidR="000A2B66" w:rsidRPr="00BF0527" w:rsidRDefault="000A2B66" w:rsidP="00FE0EFB">
            <w:r w:rsidRPr="00ED4200">
              <w:t xml:space="preserve">Una región que presenta concentraciones excepcionales de especies con niveles excepcionales de endemismo, y que enfrentan grados excepcionales de amenaza (Myers, 1988; </w:t>
            </w:r>
            <w:proofErr w:type="spellStart"/>
            <w:r w:rsidRPr="00ED4200">
              <w:t>Mittermeier</w:t>
            </w:r>
            <w:proofErr w:type="spellEnd"/>
            <w:r w:rsidRPr="00ED4200">
              <w:t xml:space="preserve"> et al., 1999).</w:t>
            </w:r>
          </w:p>
        </w:tc>
      </w:tr>
      <w:tr w:rsidR="000A2B66" w:rsidRPr="00BF0527" w14:paraId="535ADF28" w14:textId="77777777" w:rsidTr="0014096A">
        <w:tc>
          <w:tcPr>
            <w:tcW w:w="2268" w:type="dxa"/>
          </w:tcPr>
          <w:p w14:paraId="7FF2449E" w14:textId="77777777" w:rsidR="000A2B66" w:rsidRPr="00BF0527" w:rsidRDefault="000A2B66" w:rsidP="00FE0EFB">
            <w:pPr>
              <w:rPr>
                <w:lang w:val="en-GB"/>
              </w:rPr>
            </w:pPr>
            <w:r w:rsidRPr="00BF0527">
              <w:rPr>
                <w:lang w:val="en-GB"/>
              </w:rPr>
              <w:t>Civil Society Organizations</w:t>
            </w:r>
          </w:p>
        </w:tc>
        <w:tc>
          <w:tcPr>
            <w:tcW w:w="5102" w:type="dxa"/>
          </w:tcPr>
          <w:p w14:paraId="0C3F6E0B" w14:textId="77777777" w:rsidR="000A2B66" w:rsidRPr="00905F3B" w:rsidRDefault="000A2B66" w:rsidP="00FE0EFB">
            <w:pPr>
              <w:rPr>
                <w:lang w:val="en-GB"/>
              </w:rPr>
            </w:pPr>
            <w:r w:rsidRPr="00905F3B">
              <w:rPr>
                <w:lang w:val="en-GB"/>
              </w:rPr>
              <w:t>The multitude of associations around which society voluntarily organizes itself and which represent a wide range of interests and ties. These can include community-based organisati</w:t>
            </w:r>
            <w:bookmarkStart w:id="0" w:name="_GoBack"/>
            <w:bookmarkEnd w:id="0"/>
            <w:r w:rsidRPr="00905F3B">
              <w:rPr>
                <w:lang w:val="en-GB"/>
              </w:rPr>
              <w:t>ons, indigenous peoples’ organisations and non-government organisations (OECD, 2006).</w:t>
            </w:r>
          </w:p>
        </w:tc>
        <w:tc>
          <w:tcPr>
            <w:tcW w:w="2268" w:type="dxa"/>
          </w:tcPr>
          <w:p w14:paraId="786D4D39" w14:textId="77777777" w:rsidR="000A2B66" w:rsidRPr="00BF0527" w:rsidRDefault="000A2B66" w:rsidP="00FE0EFB">
            <w:r w:rsidRPr="00BF0527">
              <w:t>Organizaciones de la sociedad civil</w:t>
            </w:r>
          </w:p>
        </w:tc>
        <w:tc>
          <w:tcPr>
            <w:tcW w:w="5102" w:type="dxa"/>
          </w:tcPr>
          <w:p w14:paraId="14386A83" w14:textId="77777777" w:rsidR="000A2B66" w:rsidRPr="00BF0527" w:rsidRDefault="000A2B66" w:rsidP="00FE0EFB">
            <w:r w:rsidRPr="00BF0527">
              <w:t>La multitud de asociaciones alrededor de las cuales la sociedad se organiza voluntariamente y que representan una amplia gama de intereses y vínculos. Estas pueden incluir organizaciones comunitarias, organizaciones de pueblos indígenas y organizaciones no gubernamentales (OECD, 2006)</w:t>
            </w:r>
          </w:p>
        </w:tc>
      </w:tr>
      <w:tr w:rsidR="000A2B66" w:rsidRPr="00BF0527" w14:paraId="4817C5A3" w14:textId="77777777" w:rsidTr="0014096A">
        <w:tc>
          <w:tcPr>
            <w:tcW w:w="2268" w:type="dxa"/>
          </w:tcPr>
          <w:p w14:paraId="602FEAE1" w14:textId="77777777" w:rsidR="000A2B66" w:rsidRPr="00BF0527" w:rsidRDefault="000A2B66" w:rsidP="00FE0EFB">
            <w:pPr>
              <w:rPr>
                <w:lang w:val="en-GB"/>
              </w:rPr>
            </w:pPr>
            <w:r w:rsidRPr="00BF0527">
              <w:rPr>
                <w:lang w:val="en-GB"/>
              </w:rPr>
              <w:t>Combined delivery report (CDR)</w:t>
            </w:r>
          </w:p>
        </w:tc>
        <w:tc>
          <w:tcPr>
            <w:tcW w:w="5102" w:type="dxa"/>
          </w:tcPr>
          <w:p w14:paraId="2952A26A" w14:textId="77777777" w:rsidR="000A2B66" w:rsidRPr="00905F3B" w:rsidRDefault="000A2B66" w:rsidP="00FE0EFB">
            <w:pPr>
              <w:rPr>
                <w:lang w:val="en-GB"/>
              </w:rPr>
            </w:pPr>
            <w:r w:rsidRPr="00905F3B">
              <w:rPr>
                <w:lang w:val="en-GB"/>
              </w:rPr>
              <w:t>A mandatory official report which reflects the incurred and agreed expenses and funds utilized on a project.</w:t>
            </w:r>
          </w:p>
        </w:tc>
        <w:tc>
          <w:tcPr>
            <w:tcW w:w="2268" w:type="dxa"/>
          </w:tcPr>
          <w:p w14:paraId="622D8CD4" w14:textId="77777777" w:rsidR="000A2B66" w:rsidRPr="00BF0527" w:rsidRDefault="000A2B66" w:rsidP="00FE0EFB">
            <w:r w:rsidRPr="00BF0527">
              <w:t>Informe combinado (CDR)</w:t>
            </w:r>
          </w:p>
        </w:tc>
        <w:tc>
          <w:tcPr>
            <w:tcW w:w="5102" w:type="dxa"/>
          </w:tcPr>
          <w:p w14:paraId="0880966F" w14:textId="77777777" w:rsidR="000A2B66" w:rsidRPr="00BF0527" w:rsidRDefault="000A2B66" w:rsidP="004B6E32">
            <w:pPr>
              <w:tabs>
                <w:tab w:val="left" w:pos="930"/>
              </w:tabs>
            </w:pPr>
            <w:r w:rsidRPr="00BF0527">
              <w:t>Un informe oficial obligatorio que refleja los gastos y fondos incurridos y acordados que han sido utilizados en un proyecto.</w:t>
            </w:r>
          </w:p>
        </w:tc>
      </w:tr>
      <w:tr w:rsidR="000A2B66" w:rsidRPr="00BF0527" w14:paraId="29CC3079" w14:textId="77777777" w:rsidTr="0014096A">
        <w:tc>
          <w:tcPr>
            <w:tcW w:w="2268" w:type="dxa"/>
          </w:tcPr>
          <w:p w14:paraId="5305E996" w14:textId="77777777" w:rsidR="000A2B66" w:rsidRPr="00BF0527" w:rsidRDefault="000A2B66" w:rsidP="00FE0EFB">
            <w:pPr>
              <w:rPr>
                <w:lang w:val="en-GB"/>
              </w:rPr>
            </w:pPr>
            <w:r w:rsidRPr="00BF0527">
              <w:rPr>
                <w:lang w:val="en-GB"/>
              </w:rPr>
              <w:t>Direct beneficiaries</w:t>
            </w:r>
          </w:p>
        </w:tc>
        <w:tc>
          <w:tcPr>
            <w:tcW w:w="5102" w:type="dxa"/>
          </w:tcPr>
          <w:p w14:paraId="24DF047F" w14:textId="77777777" w:rsidR="000A2B66" w:rsidRPr="00905F3B" w:rsidRDefault="000A2B66" w:rsidP="00FE0EFB">
            <w:pPr>
              <w:rPr>
                <w:lang w:val="en-GB"/>
              </w:rPr>
            </w:pPr>
            <w:r w:rsidRPr="00905F3B">
              <w:rPr>
                <w:lang w:val="en-GB"/>
              </w:rPr>
              <w:t>Direct beneficiaries are those who will receive goods or services from the project.</w:t>
            </w:r>
          </w:p>
        </w:tc>
        <w:tc>
          <w:tcPr>
            <w:tcW w:w="2268" w:type="dxa"/>
          </w:tcPr>
          <w:p w14:paraId="1ABC5049" w14:textId="77777777" w:rsidR="000A2B66" w:rsidRPr="00BF0527" w:rsidRDefault="000A2B66" w:rsidP="00FE0EFB">
            <w:r w:rsidRPr="00BF0527">
              <w:t>Beneficiarios directos</w:t>
            </w:r>
          </w:p>
        </w:tc>
        <w:tc>
          <w:tcPr>
            <w:tcW w:w="5102" w:type="dxa"/>
          </w:tcPr>
          <w:p w14:paraId="4560B352" w14:textId="77777777" w:rsidR="000A2B66" w:rsidRPr="00BF0527" w:rsidRDefault="000A2B66" w:rsidP="00FE0EFB">
            <w:r w:rsidRPr="00BF0527">
              <w:t>Beneficiarios directos son aquellos que recibirán bienes o servicios del proyecto.</w:t>
            </w:r>
          </w:p>
        </w:tc>
      </w:tr>
      <w:tr w:rsidR="000A2B66" w:rsidRPr="00BF0527" w14:paraId="71EA61CB" w14:textId="77777777" w:rsidTr="0014096A">
        <w:tc>
          <w:tcPr>
            <w:tcW w:w="2268" w:type="dxa"/>
          </w:tcPr>
          <w:p w14:paraId="196C6A13" w14:textId="77777777" w:rsidR="000A2B66" w:rsidRPr="00BF0527" w:rsidRDefault="000A2B66" w:rsidP="00FE0EFB">
            <w:pPr>
              <w:rPr>
                <w:lang w:val="en-GB"/>
              </w:rPr>
            </w:pPr>
            <w:r w:rsidRPr="00BF0527">
              <w:rPr>
                <w:lang w:val="en-GB"/>
              </w:rPr>
              <w:t>Direct project costs (DPC)</w:t>
            </w:r>
          </w:p>
        </w:tc>
        <w:tc>
          <w:tcPr>
            <w:tcW w:w="5102" w:type="dxa"/>
          </w:tcPr>
          <w:p w14:paraId="6F2E25C1" w14:textId="77777777" w:rsidR="000A2B66" w:rsidRPr="00905F3B" w:rsidRDefault="000A2B66" w:rsidP="00B12597">
            <w:pPr>
              <w:rPr>
                <w:lang w:val="en-GB"/>
              </w:rPr>
            </w:pPr>
            <w:r w:rsidRPr="00905F3B">
              <w:rPr>
                <w:lang w:val="en-GB"/>
              </w:rPr>
              <w:t xml:space="preserve">These are costs that are incurred by UNDP that are execution-driven and are incurred for, and can be traced in full to, the delivery of project inputs. DPCs normally relate to operational and administrative support activities carried out by UNDP offices on behalf of Direct Implementation Modality (DIM) or country office support to National Implementation Modality (NIM) projects, such as: (a) human resources activities, including </w:t>
            </w:r>
            <w:r w:rsidRPr="00905F3B">
              <w:rPr>
                <w:lang w:val="en-GB"/>
              </w:rPr>
              <w:lastRenderedPageBreak/>
              <w:t xml:space="preserve">recruitment of project personnel, issuance of project personnel contracts, (b) costs incurred in the process of undertaking procurement activities of project goods and services, and (c) finance transactions that are performed on behalf of an implementing partner. </w:t>
            </w:r>
          </w:p>
          <w:p w14:paraId="586B488F" w14:textId="77777777" w:rsidR="000A2B66" w:rsidRPr="00905F3B" w:rsidRDefault="000A2B66" w:rsidP="00B12597">
            <w:pPr>
              <w:rPr>
                <w:lang w:val="en-GB"/>
              </w:rPr>
            </w:pPr>
            <w:r w:rsidRPr="00905F3B">
              <w:rPr>
                <w:lang w:val="en-GB"/>
              </w:rPr>
              <w:t xml:space="preserve">The UNDP Cost Recovery Policy states that the costs of any DPC incurred by UNDP need to be recovered </w:t>
            </w:r>
            <w:proofErr w:type="gramStart"/>
            <w:r w:rsidRPr="00905F3B">
              <w:rPr>
                <w:lang w:val="en-GB"/>
              </w:rPr>
              <w:t>on the basis of</w:t>
            </w:r>
            <w:proofErr w:type="gramEnd"/>
            <w:r w:rsidRPr="00905F3B">
              <w:rPr>
                <w:lang w:val="en-GB"/>
              </w:rPr>
              <w:t xml:space="preserve"> estimated actual costs expected to be incurred, or on a per-transaction basis using the Universal Price List (UPL) or the Local Price List and should be charged directly to the project budget.</w:t>
            </w:r>
          </w:p>
        </w:tc>
        <w:tc>
          <w:tcPr>
            <w:tcW w:w="2268" w:type="dxa"/>
          </w:tcPr>
          <w:p w14:paraId="26CB8213" w14:textId="77777777" w:rsidR="000A2B66" w:rsidRPr="00BF0527" w:rsidRDefault="000A2B66" w:rsidP="00FE0EFB">
            <w:r w:rsidRPr="00BF0527">
              <w:lastRenderedPageBreak/>
              <w:t>Costos directos de proyecto (DPC)</w:t>
            </w:r>
          </w:p>
        </w:tc>
        <w:tc>
          <w:tcPr>
            <w:tcW w:w="5102" w:type="dxa"/>
          </w:tcPr>
          <w:p w14:paraId="6849CA7F" w14:textId="77777777" w:rsidR="000A2B66" w:rsidRPr="00BF0527" w:rsidRDefault="000A2B66" w:rsidP="00FE0EFB">
            <w:r w:rsidRPr="00BF0527">
              <w:t xml:space="preserve">Estos son los costos en los que incurre el PNUD que son requeridos para la ejecución y se incurren para, y se pueden rastrear en su totalidad, la entrega de los insumos del proyecto. Los DPC normalmente se relacionan con actividades de apoyo operacional y administrativo realizadas por las oficinas del PNUD como parte de la modalidad de implementación directa (DIM) o el apoyo de la oficina de país a proyectos de </w:t>
            </w:r>
            <w:r w:rsidRPr="00BF0527">
              <w:lastRenderedPageBreak/>
              <w:t>modalidad de implementación nacional (NIM), tales como: a) actividades de recursos humanos, incluida la contratación de personal del proyecto, emisión de contratos de personal del proyecto, (b) costos incurridos en el proceso de adquisición de bienes y servicios del proyecto, y (c) transacciones financieras que se realizan a nombre de un socio implementador.</w:t>
            </w:r>
            <w:r w:rsidRPr="00BF0527">
              <w:br/>
              <w:t>La política de recuperación de costos del PNUD establece que los costos de cualquier DPC incurridos por el PNUD deben recuperarse sobre la base de los costos reales estimados que se espera incurrir, o por transacción utilizando la lista universal de precios (UPL) o la lista de precios local, y debe cargarse directamente al presupuesto del proyecto.</w:t>
            </w:r>
          </w:p>
        </w:tc>
      </w:tr>
      <w:tr w:rsidR="000A2B66" w:rsidRPr="00BF0527" w14:paraId="1A10804A" w14:textId="77777777" w:rsidTr="0014096A">
        <w:tc>
          <w:tcPr>
            <w:tcW w:w="2268" w:type="dxa"/>
          </w:tcPr>
          <w:p w14:paraId="47B6AC05" w14:textId="77777777" w:rsidR="000A2B66" w:rsidRPr="00BF0527" w:rsidRDefault="000A2B66" w:rsidP="00FE0EFB">
            <w:pPr>
              <w:rPr>
                <w:lang w:val="en-GB"/>
              </w:rPr>
            </w:pPr>
            <w:r w:rsidRPr="00BF0527">
              <w:rPr>
                <w:lang w:val="en-GB"/>
              </w:rPr>
              <w:lastRenderedPageBreak/>
              <w:t>Direct project services (DPS)</w:t>
            </w:r>
          </w:p>
        </w:tc>
        <w:tc>
          <w:tcPr>
            <w:tcW w:w="5102" w:type="dxa"/>
          </w:tcPr>
          <w:p w14:paraId="45F21EA6" w14:textId="77777777" w:rsidR="000A2B66" w:rsidRPr="00905F3B" w:rsidRDefault="000A2B66" w:rsidP="00B12597">
            <w:pPr>
              <w:rPr>
                <w:lang w:val="en-GB"/>
              </w:rPr>
            </w:pPr>
            <w:r w:rsidRPr="00905F3B">
              <w:rPr>
                <w:lang w:val="en-GB"/>
              </w:rPr>
              <w:t>These are operational or administrative support activities that are carried out by UNDP offices to facilitate the execution of a project. These services are requested by the implementing partner and agreed through a letter of agreement (LOA). The amount of these services is called direct project costs (DPC).</w:t>
            </w:r>
          </w:p>
        </w:tc>
        <w:tc>
          <w:tcPr>
            <w:tcW w:w="2268" w:type="dxa"/>
          </w:tcPr>
          <w:p w14:paraId="748E902E" w14:textId="77777777" w:rsidR="000A2B66" w:rsidRPr="00BF0527" w:rsidRDefault="000A2B66" w:rsidP="00FE0EFB">
            <w:r w:rsidRPr="00BF0527">
              <w:t>Servicios directos de proyecto (DPS)</w:t>
            </w:r>
          </w:p>
        </w:tc>
        <w:tc>
          <w:tcPr>
            <w:tcW w:w="5102" w:type="dxa"/>
          </w:tcPr>
          <w:p w14:paraId="1C3E38AA" w14:textId="77777777" w:rsidR="000A2B66" w:rsidRPr="00BF0527" w:rsidRDefault="000A2B66" w:rsidP="00FE0EFB">
            <w:r w:rsidRPr="00BF0527">
              <w:t>Son actividades de apoyo operacional o administrativo que son realizadas por las oficinas de PNUD para facilitar la ejecución de un proyecto. Estos servicios son solicitados por el socio implementador y acordados mediante una carta de acuerdo (LOA). El importe de estos servicios se denomina costos directos de proyecto (DPC).</w:t>
            </w:r>
          </w:p>
        </w:tc>
      </w:tr>
      <w:tr w:rsidR="000A2B66" w:rsidRPr="00BF0527" w14:paraId="40EA1DBA" w14:textId="77777777" w:rsidTr="0014096A">
        <w:tc>
          <w:tcPr>
            <w:tcW w:w="2268" w:type="dxa"/>
          </w:tcPr>
          <w:p w14:paraId="06166902" w14:textId="77777777" w:rsidR="000A2B66" w:rsidRPr="00BF0527" w:rsidRDefault="000A2B66" w:rsidP="00FE0EFB">
            <w:pPr>
              <w:rPr>
                <w:lang w:val="en-GB"/>
              </w:rPr>
            </w:pPr>
            <w:r w:rsidRPr="00BF0527">
              <w:rPr>
                <w:lang w:val="en-GB"/>
              </w:rPr>
              <w:t>Ecosystem approach</w:t>
            </w:r>
          </w:p>
        </w:tc>
        <w:tc>
          <w:tcPr>
            <w:tcW w:w="5102" w:type="dxa"/>
          </w:tcPr>
          <w:p w14:paraId="24C72834" w14:textId="77777777" w:rsidR="000A2B66" w:rsidRPr="00905F3B" w:rsidRDefault="000A2B66" w:rsidP="00FE0EFB">
            <w:pPr>
              <w:rPr>
                <w:lang w:val="en-GB"/>
              </w:rPr>
            </w:pPr>
            <w:r w:rsidRPr="00905F3B">
              <w:rPr>
                <w:lang w:val="en-GB"/>
              </w:rPr>
              <w:t>The ecosystem approach is a strategy for the integrated management of land, water and living resources that promotes conservation and sustainable use in an equitable way. Thus, the application of the ecosystem approach will help to reach a balance of the three objectives of the Convention: conservation, sustainable use, and the fair and equitable sharing of the benefits arising out of the utilization of genetic resources (Decision V/6 of the Convention on Biological Diversity)</w:t>
            </w:r>
          </w:p>
        </w:tc>
        <w:tc>
          <w:tcPr>
            <w:tcW w:w="2268" w:type="dxa"/>
          </w:tcPr>
          <w:p w14:paraId="075E0865" w14:textId="77777777" w:rsidR="000A2B66" w:rsidRPr="00BF0527" w:rsidRDefault="000A2B66" w:rsidP="00FE0EFB">
            <w:r w:rsidRPr="00BF0527">
              <w:t>Enfoque ecosistémico</w:t>
            </w:r>
          </w:p>
        </w:tc>
        <w:tc>
          <w:tcPr>
            <w:tcW w:w="5102" w:type="dxa"/>
          </w:tcPr>
          <w:p w14:paraId="3D74B254" w14:textId="77777777" w:rsidR="000A2B66" w:rsidRPr="00BF0527" w:rsidRDefault="000A2B66" w:rsidP="004B6E32">
            <w:pPr>
              <w:tabs>
                <w:tab w:val="left" w:pos="930"/>
              </w:tabs>
            </w:pPr>
            <w:r w:rsidRPr="00BF0527">
              <w:t>El enfoque ecosistémico es una estrategia para el manejo integrado de la tierra, el agua y los recursos vivos que promueve la conservación y el uso sostenible de manera equitativa. Por lo tanto, la aplicación del enfoque ecosistémico ayudará a alcanzar un equilibrio entre los tres objetivos de la Convención: la conservación, el uso sostenible, y la distribución justa y equitativa de los beneficios derivados de la utilización de los recursos genéticos (Decisión V/6 del Convenio sobre la Diversidad Biológica)</w:t>
            </w:r>
          </w:p>
        </w:tc>
      </w:tr>
      <w:tr w:rsidR="000A2B66" w:rsidRPr="00BF0527" w14:paraId="7CD4A5B0" w14:textId="77777777" w:rsidTr="0014096A">
        <w:tc>
          <w:tcPr>
            <w:tcW w:w="2268" w:type="dxa"/>
          </w:tcPr>
          <w:p w14:paraId="708340E8" w14:textId="77777777" w:rsidR="000A2B66" w:rsidRPr="00BF0527" w:rsidRDefault="000A2B66" w:rsidP="002D5943">
            <w:pPr>
              <w:rPr>
                <w:lang w:val="en-GB"/>
              </w:rPr>
            </w:pPr>
            <w:r w:rsidRPr="00BF0527">
              <w:rPr>
                <w:lang w:val="en-GB"/>
              </w:rPr>
              <w:t>Ecosystem based adaptation</w:t>
            </w:r>
          </w:p>
        </w:tc>
        <w:tc>
          <w:tcPr>
            <w:tcW w:w="5102" w:type="dxa"/>
          </w:tcPr>
          <w:p w14:paraId="765E0A66" w14:textId="77777777" w:rsidR="000A2B66" w:rsidRPr="00905F3B" w:rsidRDefault="000A2B66" w:rsidP="002D5943">
            <w:pPr>
              <w:rPr>
                <w:lang w:val="en-GB"/>
              </w:rPr>
            </w:pPr>
            <w:r w:rsidRPr="00905F3B">
              <w:rPr>
                <w:lang w:val="en-GB"/>
              </w:rPr>
              <w:t>Ecosystem-based adaptation is the use of biodiversity and ecosystem services as part of an overall adaptation strategy to help people to adapt to the adverse effects of climate change.</w:t>
            </w:r>
          </w:p>
        </w:tc>
        <w:tc>
          <w:tcPr>
            <w:tcW w:w="2268" w:type="dxa"/>
          </w:tcPr>
          <w:p w14:paraId="10C1F0A8" w14:textId="77777777" w:rsidR="000A2B66" w:rsidRPr="00BF0527" w:rsidRDefault="000A2B66" w:rsidP="002D5943">
            <w:r w:rsidRPr="00BF0527">
              <w:t>Adaptación basada en ecosistemas</w:t>
            </w:r>
          </w:p>
        </w:tc>
        <w:tc>
          <w:tcPr>
            <w:tcW w:w="5102" w:type="dxa"/>
          </w:tcPr>
          <w:p w14:paraId="7B3A0B69" w14:textId="77777777" w:rsidR="000A2B66" w:rsidRPr="00BF0527" w:rsidRDefault="000A2B66" w:rsidP="002D5943">
            <w:r w:rsidRPr="00BF0527">
              <w:t>La adaptación basada en ecosistemas es definida como la utilización de la biodiversidad y los servicios de los ecosistemas, como parte de una estrategia más amplia de adaptación, para ayudar a las personas a adaptarse a los efectos adversos del cambio climático.</w:t>
            </w:r>
          </w:p>
        </w:tc>
      </w:tr>
      <w:tr w:rsidR="000A2B66" w:rsidRPr="00BF0527" w14:paraId="6C82F91E" w14:textId="77777777" w:rsidTr="0014096A">
        <w:tc>
          <w:tcPr>
            <w:tcW w:w="2268" w:type="dxa"/>
          </w:tcPr>
          <w:p w14:paraId="04E55C88" w14:textId="77777777" w:rsidR="000A2B66" w:rsidRPr="00BF0527" w:rsidRDefault="000A2B66" w:rsidP="00FE0EFB">
            <w:pPr>
              <w:rPr>
                <w:lang w:val="en-GB"/>
              </w:rPr>
            </w:pPr>
            <w:r w:rsidRPr="00BF0527">
              <w:rPr>
                <w:lang w:val="en-GB"/>
              </w:rPr>
              <w:t>Execution entity</w:t>
            </w:r>
          </w:p>
        </w:tc>
        <w:tc>
          <w:tcPr>
            <w:tcW w:w="5102" w:type="dxa"/>
          </w:tcPr>
          <w:p w14:paraId="6E1B902A" w14:textId="77777777" w:rsidR="000A2B66" w:rsidRPr="00905F3B" w:rsidRDefault="000A2B66" w:rsidP="00FE0EFB">
            <w:pPr>
              <w:rPr>
                <w:lang w:val="en-GB"/>
              </w:rPr>
            </w:pPr>
            <w:r w:rsidRPr="00905F3B">
              <w:rPr>
                <w:lang w:val="en-GB"/>
              </w:rPr>
              <w:t>The entity responsible for implementing the national activities of the project.</w:t>
            </w:r>
          </w:p>
        </w:tc>
        <w:tc>
          <w:tcPr>
            <w:tcW w:w="2268" w:type="dxa"/>
          </w:tcPr>
          <w:p w14:paraId="32769564" w14:textId="77777777" w:rsidR="000A2B66" w:rsidRPr="00BF0527" w:rsidRDefault="000A2B66" w:rsidP="00FE0EFB">
            <w:r w:rsidRPr="00BF0527">
              <w:t>Organismo ejecutor</w:t>
            </w:r>
          </w:p>
        </w:tc>
        <w:tc>
          <w:tcPr>
            <w:tcW w:w="5102" w:type="dxa"/>
          </w:tcPr>
          <w:p w14:paraId="0A4DFA2B" w14:textId="77777777" w:rsidR="000A2B66" w:rsidRPr="00BF0527" w:rsidRDefault="000A2B66" w:rsidP="00FE0EFB">
            <w:r w:rsidRPr="00BF0527">
              <w:t>Es la entidad responsable de implementar las actividades nacionales del proyecto.</w:t>
            </w:r>
          </w:p>
        </w:tc>
      </w:tr>
      <w:tr w:rsidR="000A2B66" w:rsidRPr="00BF0527" w14:paraId="606ADBB7" w14:textId="77777777" w:rsidTr="0014096A">
        <w:tc>
          <w:tcPr>
            <w:tcW w:w="2268" w:type="dxa"/>
          </w:tcPr>
          <w:p w14:paraId="779BE842" w14:textId="77777777" w:rsidR="000A2B66" w:rsidRPr="00BF0527" w:rsidRDefault="000A2B66" w:rsidP="00FE0EFB">
            <w:pPr>
              <w:rPr>
                <w:lang w:val="en-GB"/>
              </w:rPr>
            </w:pPr>
            <w:r w:rsidRPr="00BF0527" w:rsidDel="004E7E3E">
              <w:rPr>
                <w:lang w:val="en-GB"/>
              </w:rPr>
              <w:t>GEF Project Implementation Report</w:t>
            </w:r>
            <w:r w:rsidRPr="00BF0527">
              <w:rPr>
                <w:lang w:val="en-GB"/>
              </w:rPr>
              <w:t xml:space="preserve"> (PIR)</w:t>
            </w:r>
          </w:p>
        </w:tc>
        <w:tc>
          <w:tcPr>
            <w:tcW w:w="5102" w:type="dxa"/>
          </w:tcPr>
          <w:p w14:paraId="332A2FA0" w14:textId="77777777" w:rsidR="000A2B66" w:rsidRPr="00905F3B" w:rsidRDefault="000A2B66" w:rsidP="00FE0EFB">
            <w:pPr>
              <w:rPr>
                <w:lang w:val="en-GB"/>
              </w:rPr>
            </w:pPr>
            <w:r w:rsidRPr="00905F3B">
              <w:rPr>
                <w:lang w:val="en-GB"/>
              </w:rPr>
              <w:t>This is an annual report that GEF agencies must submit to the GEF Secretariat by June 30 of a set fiscal year. The report must include, at the minimum: basic data, project status, rating project performance, and risk rating. A fiscal year at the GEF starts on 1 July and ends on 30 June of the following calendar year.</w:t>
            </w:r>
          </w:p>
        </w:tc>
        <w:tc>
          <w:tcPr>
            <w:tcW w:w="2268" w:type="dxa"/>
          </w:tcPr>
          <w:p w14:paraId="7471EC81" w14:textId="77777777" w:rsidR="000A2B66" w:rsidRPr="00BF0527" w:rsidRDefault="000A2B66" w:rsidP="00FE0EFB">
            <w:r w:rsidRPr="00BF0527" w:rsidDel="004E7E3E">
              <w:t>Informe de ejecución de proyecto GEF</w:t>
            </w:r>
            <w:r w:rsidRPr="00BF0527">
              <w:t xml:space="preserve"> (PIR)</w:t>
            </w:r>
          </w:p>
        </w:tc>
        <w:tc>
          <w:tcPr>
            <w:tcW w:w="5102" w:type="dxa"/>
          </w:tcPr>
          <w:p w14:paraId="518B19D5" w14:textId="77777777" w:rsidR="000A2B66" w:rsidRPr="00BF0527" w:rsidRDefault="000A2B66" w:rsidP="004B6E32">
            <w:pPr>
              <w:tabs>
                <w:tab w:val="left" w:pos="930"/>
              </w:tabs>
            </w:pPr>
            <w:r w:rsidRPr="00BF0527">
              <w:t>Este es un informe anual que agencias del GEF deben presentar a la Secretaría del GEF antes del 30 de junio de un año fiscal determinado. El informe debe incluir, como mínimo: datos básicos, estado del proyecto, desempeño del proyecto de calificación y calificación de riesgo. Un año fiscal en el GEF comienza el 1 de julio y finaliza el 30 de junio del siguiente año calendario.</w:t>
            </w:r>
          </w:p>
        </w:tc>
      </w:tr>
      <w:tr w:rsidR="000A2B66" w:rsidRPr="00BF0527" w14:paraId="38DF9ED0" w14:textId="77777777" w:rsidTr="0014096A">
        <w:tc>
          <w:tcPr>
            <w:tcW w:w="2268" w:type="dxa"/>
          </w:tcPr>
          <w:p w14:paraId="7E7BE56D" w14:textId="77777777" w:rsidR="000A2B66" w:rsidRPr="00BF0527" w:rsidRDefault="000A2B66" w:rsidP="002D5943">
            <w:pPr>
              <w:rPr>
                <w:lang w:val="en-GB"/>
              </w:rPr>
            </w:pPr>
            <w:r w:rsidRPr="00BF0527">
              <w:rPr>
                <w:lang w:val="en-GB"/>
              </w:rPr>
              <w:t>Gender equality</w:t>
            </w:r>
          </w:p>
        </w:tc>
        <w:tc>
          <w:tcPr>
            <w:tcW w:w="5102" w:type="dxa"/>
          </w:tcPr>
          <w:p w14:paraId="721D80A7" w14:textId="77777777" w:rsidR="000A2B66" w:rsidRPr="00905F3B" w:rsidRDefault="000A2B66" w:rsidP="002D5943">
            <w:pPr>
              <w:rPr>
                <w:lang w:val="en-GB"/>
              </w:rPr>
            </w:pPr>
            <w:r w:rsidRPr="00905F3B">
              <w:rPr>
                <w:lang w:val="en-GB"/>
              </w:rPr>
              <w:t>Refers to the equal rights, responsibilities and opportunities of women and men and girls and boys. Equality does not mean that women and men will become the same but that women’s and men’s rights, responsibilities and opportunities will not depend on whether they are born male or female. Gender equality implies that the interests, needs and priorities of both women and men are taken into consideration—recognizing the diversity of different groups of women and men. Gender equality is not a ‘women’s issue’ but should concern and fully engage men as well as women. Equality between women and men is seen both as a human rights issue and as a precondition for, and indicator of, sustainable people-centred development (PNUD, 2014b).</w:t>
            </w:r>
          </w:p>
        </w:tc>
        <w:tc>
          <w:tcPr>
            <w:tcW w:w="2268" w:type="dxa"/>
          </w:tcPr>
          <w:p w14:paraId="70DD82D2" w14:textId="77777777" w:rsidR="000A2B66" w:rsidRPr="00BF0527" w:rsidRDefault="000A2B66" w:rsidP="002D5943">
            <w:r w:rsidRPr="00BF0527">
              <w:t>Igualdad de género</w:t>
            </w:r>
          </w:p>
        </w:tc>
        <w:tc>
          <w:tcPr>
            <w:tcW w:w="5102" w:type="dxa"/>
          </w:tcPr>
          <w:p w14:paraId="7CF0B1BD" w14:textId="77777777" w:rsidR="000A2B66" w:rsidRPr="00BF0527" w:rsidRDefault="000A2B66" w:rsidP="002D5943">
            <w:r w:rsidRPr="00BF0527">
              <w:t>Se refiere a la igualdad de derechos, responsabilidades y oportunidades de las mujeres y los hombres y las niñas y los niños. la igualdad no significa que las mujeres y los hombres se conviertan en lo mismo, sino que los derechos, las responsabilidades y las oportunidades de las mujeres y los hombres no dependerán del sexo con que nacieron. la igualdad de género supone que se tendrán en cuenta los intereses, las necesidades y las prioridades tanto de las mujeres como de los hombres, reconociéndose la diversidad de los diferentes grupos de mujeres y de hombres. la igualdad de género no es un “problema de la mujer” sino que debería preocupar tanto a hombres como a mujeres y atraer su participación plena. la igualdad entre las mujeres y los hombres se considera una cuestión tanto de derechos humanos como una condición previa para el desarrollo sostenible centrado en las personas y un indicador de éste (PNUD, 2014).</w:t>
            </w:r>
          </w:p>
        </w:tc>
      </w:tr>
      <w:tr w:rsidR="000A2B66" w:rsidRPr="00BF0527" w14:paraId="70C84BC8" w14:textId="77777777" w:rsidTr="0014096A">
        <w:tc>
          <w:tcPr>
            <w:tcW w:w="2268" w:type="dxa"/>
          </w:tcPr>
          <w:p w14:paraId="75DC74D7" w14:textId="77777777" w:rsidR="000A2B66" w:rsidRPr="00BF0527" w:rsidRDefault="000A2B66" w:rsidP="00FE0EFB">
            <w:pPr>
              <w:rPr>
                <w:lang w:val="en-GB"/>
              </w:rPr>
            </w:pPr>
            <w:r w:rsidRPr="00BF0527">
              <w:rPr>
                <w:lang w:val="en-GB"/>
              </w:rPr>
              <w:t>Gender marker</w:t>
            </w:r>
          </w:p>
        </w:tc>
        <w:tc>
          <w:tcPr>
            <w:tcW w:w="5102" w:type="dxa"/>
          </w:tcPr>
          <w:p w14:paraId="257B4FCC" w14:textId="77777777" w:rsidR="000A2B66" w:rsidRPr="00905F3B" w:rsidRDefault="000A2B66" w:rsidP="00467102">
            <w:pPr>
              <w:rPr>
                <w:lang w:val="en-GB"/>
              </w:rPr>
            </w:pPr>
            <w:r w:rsidRPr="00905F3B">
              <w:rPr>
                <w:lang w:val="en-GB"/>
              </w:rPr>
              <w:t>The UNDP Gender Marker is a tool that rates gender mainstreaming and equality at the activity level on a scale from zero to three. Projects must rate all project activities in terms of how they contribute to gender equality and women’s empowerment. Each activity must be allocated a gender rating of 0, 1, 2 or 3, as follows:</w:t>
            </w:r>
          </w:p>
          <w:p w14:paraId="06B109F9" w14:textId="77777777" w:rsidR="000A2B66" w:rsidRPr="00905F3B" w:rsidRDefault="000A2B66" w:rsidP="00467102">
            <w:pPr>
              <w:pStyle w:val="ListParagraph"/>
              <w:numPr>
                <w:ilvl w:val="0"/>
                <w:numId w:val="1"/>
              </w:numPr>
              <w:rPr>
                <w:lang w:val="en-GB"/>
              </w:rPr>
            </w:pPr>
            <w:r w:rsidRPr="00905F3B">
              <w:rPr>
                <w:lang w:val="en-GB"/>
              </w:rPr>
              <w:t>Activities that have gender equality as a principal objective should be rated 3;</w:t>
            </w:r>
          </w:p>
          <w:p w14:paraId="50D84629" w14:textId="77777777" w:rsidR="000A2B66" w:rsidRPr="00905F3B" w:rsidRDefault="000A2B66" w:rsidP="00467102">
            <w:pPr>
              <w:pStyle w:val="ListParagraph"/>
              <w:numPr>
                <w:ilvl w:val="0"/>
                <w:numId w:val="1"/>
              </w:numPr>
              <w:rPr>
                <w:lang w:val="en-GB"/>
              </w:rPr>
            </w:pPr>
            <w:r w:rsidRPr="00905F3B">
              <w:rPr>
                <w:lang w:val="en-GB"/>
              </w:rPr>
              <w:t>Activities that have gender equality as a significant objective should be rated 2;</w:t>
            </w:r>
          </w:p>
          <w:p w14:paraId="14086F49" w14:textId="77777777" w:rsidR="000A2B66" w:rsidRPr="00905F3B" w:rsidRDefault="000A2B66" w:rsidP="00467102">
            <w:pPr>
              <w:pStyle w:val="ListParagraph"/>
              <w:numPr>
                <w:ilvl w:val="0"/>
                <w:numId w:val="1"/>
              </w:numPr>
              <w:rPr>
                <w:lang w:val="en-GB"/>
              </w:rPr>
            </w:pPr>
            <w:r w:rsidRPr="00905F3B">
              <w:rPr>
                <w:lang w:val="en-GB"/>
              </w:rPr>
              <w:t>Activities that will contribute in some way to gender equality, but not significantly, should be rated 1; and</w:t>
            </w:r>
          </w:p>
          <w:p w14:paraId="22A1F593" w14:textId="77777777" w:rsidR="000A2B66" w:rsidRPr="00905F3B" w:rsidRDefault="000A2B66" w:rsidP="00467102">
            <w:pPr>
              <w:pStyle w:val="ListParagraph"/>
              <w:numPr>
                <w:ilvl w:val="0"/>
                <w:numId w:val="1"/>
              </w:numPr>
              <w:rPr>
                <w:lang w:val="en-GB"/>
              </w:rPr>
            </w:pPr>
            <w:r w:rsidRPr="00905F3B">
              <w:rPr>
                <w:lang w:val="en-GB"/>
              </w:rPr>
              <w:t>Activities that are not expected to contribute noticeably to gender equality should be rated 0.</w:t>
            </w:r>
          </w:p>
        </w:tc>
        <w:tc>
          <w:tcPr>
            <w:tcW w:w="2268" w:type="dxa"/>
          </w:tcPr>
          <w:p w14:paraId="3A56C8C4" w14:textId="77777777" w:rsidR="000A2B66" w:rsidRPr="00BF0527" w:rsidRDefault="000A2B66" w:rsidP="00FE0EFB">
            <w:r w:rsidRPr="00BF0527">
              <w:t>Indicador de género</w:t>
            </w:r>
          </w:p>
        </w:tc>
        <w:tc>
          <w:tcPr>
            <w:tcW w:w="5102" w:type="dxa"/>
          </w:tcPr>
          <w:p w14:paraId="2E60E22B" w14:textId="77777777" w:rsidR="000A2B66" w:rsidRPr="00BF0527" w:rsidRDefault="000A2B66" w:rsidP="00467102">
            <w:pPr>
              <w:tabs>
                <w:tab w:val="left" w:pos="930"/>
              </w:tabs>
            </w:pPr>
            <w:r w:rsidRPr="00BF0527">
              <w:t>El indicador de género del PNUD es una herramienta que califica la transversalización de género y la igualdad al nivel de actividades, en una escala de cero a tres. Los proyectos deben calificar todas las actividades del proyecto en términos de cómo contribuyen a la igualdad de género y el empoderamiento de las mujeres. A cada actividad se le debe asignar una calificación de género de 0, 1, 2 o 3, de la siguiente manera:</w:t>
            </w:r>
          </w:p>
          <w:p w14:paraId="55D152BA" w14:textId="77777777" w:rsidR="000A2B66" w:rsidRPr="00BF0527" w:rsidRDefault="000A2B66" w:rsidP="006C462F">
            <w:pPr>
              <w:pStyle w:val="ListParagraph"/>
              <w:numPr>
                <w:ilvl w:val="0"/>
                <w:numId w:val="2"/>
              </w:numPr>
              <w:tabs>
                <w:tab w:val="left" w:pos="930"/>
              </w:tabs>
            </w:pPr>
            <w:r w:rsidRPr="00BF0527">
              <w:t>Las actividades que tienen la igualdad de género como objetivo principal deben tener una calificación de 3;</w:t>
            </w:r>
          </w:p>
          <w:p w14:paraId="5A5F91DF" w14:textId="77777777" w:rsidR="000A2B66" w:rsidRPr="00BF0527" w:rsidRDefault="000A2B66" w:rsidP="006C462F">
            <w:pPr>
              <w:pStyle w:val="ListParagraph"/>
              <w:numPr>
                <w:ilvl w:val="0"/>
                <w:numId w:val="2"/>
              </w:numPr>
              <w:tabs>
                <w:tab w:val="left" w:pos="930"/>
              </w:tabs>
            </w:pPr>
            <w:r w:rsidRPr="00BF0527">
              <w:t>Las actividades que tienen la igualdad de género como un objetivo importante deben tener una calificación de 2;</w:t>
            </w:r>
          </w:p>
          <w:p w14:paraId="1F6BEBDC" w14:textId="77777777" w:rsidR="000A2B66" w:rsidRPr="00BF0527" w:rsidRDefault="000A2B66" w:rsidP="006C462F">
            <w:pPr>
              <w:pStyle w:val="ListParagraph"/>
              <w:numPr>
                <w:ilvl w:val="0"/>
                <w:numId w:val="2"/>
              </w:numPr>
              <w:tabs>
                <w:tab w:val="left" w:pos="930"/>
              </w:tabs>
            </w:pPr>
            <w:r w:rsidRPr="00BF0527">
              <w:t>Las actividades que contribuirán de alguna manera a la igualdad de género, pero no de manera significativa, deben tener una calificación de 1; y</w:t>
            </w:r>
          </w:p>
          <w:p w14:paraId="0A441438" w14:textId="77777777" w:rsidR="000A2B66" w:rsidRPr="00BF0527" w:rsidRDefault="000A2B66" w:rsidP="006C462F">
            <w:pPr>
              <w:pStyle w:val="ListParagraph"/>
              <w:numPr>
                <w:ilvl w:val="0"/>
                <w:numId w:val="2"/>
              </w:numPr>
              <w:tabs>
                <w:tab w:val="left" w:pos="930"/>
              </w:tabs>
            </w:pPr>
            <w:r w:rsidRPr="00BF0527">
              <w:t>Las actividades que no se espera que contribuyan notablemente a la igualdad de género deben tener una calificación de 0.</w:t>
            </w:r>
          </w:p>
        </w:tc>
      </w:tr>
      <w:tr w:rsidR="000A2B66" w:rsidRPr="00BF0527" w14:paraId="1F874071" w14:textId="77777777" w:rsidTr="0014096A">
        <w:tc>
          <w:tcPr>
            <w:tcW w:w="2268" w:type="dxa"/>
          </w:tcPr>
          <w:p w14:paraId="4F1034A3" w14:textId="77777777" w:rsidR="000A2B66" w:rsidRPr="00BF0527" w:rsidRDefault="000A2B66" w:rsidP="00FE0EFB">
            <w:pPr>
              <w:rPr>
                <w:lang w:val="en-GB"/>
              </w:rPr>
            </w:pPr>
            <w:r w:rsidRPr="00BF0527">
              <w:rPr>
                <w:lang w:val="en-GB"/>
              </w:rPr>
              <w:t>Human development</w:t>
            </w:r>
          </w:p>
        </w:tc>
        <w:tc>
          <w:tcPr>
            <w:tcW w:w="5102" w:type="dxa"/>
          </w:tcPr>
          <w:p w14:paraId="3BC02A28" w14:textId="77777777" w:rsidR="000A2B66" w:rsidRPr="00905F3B" w:rsidRDefault="000A2B66" w:rsidP="00BE7471">
            <w:pPr>
              <w:rPr>
                <w:lang w:val="en-GB"/>
              </w:rPr>
            </w:pPr>
            <w:r w:rsidRPr="00905F3B">
              <w:rPr>
                <w:lang w:val="en-GB"/>
              </w:rPr>
              <w:t>A process of enlarging people’s choices. The most critical of these wide-ranging choices are to live a long and healthy life, to be educated and to have access to resources needed for a decent standard of living. Additional choices include political freedom, guaranteed human rights and personal self-respect (UNDP, 1990).</w:t>
            </w:r>
          </w:p>
        </w:tc>
        <w:tc>
          <w:tcPr>
            <w:tcW w:w="2268" w:type="dxa"/>
          </w:tcPr>
          <w:p w14:paraId="561E0B4F" w14:textId="77777777" w:rsidR="000A2B66" w:rsidRPr="00BF0527" w:rsidRDefault="000A2B66" w:rsidP="00FE0EFB">
            <w:r w:rsidRPr="00BF0527">
              <w:t>Desarrollo humano</w:t>
            </w:r>
          </w:p>
        </w:tc>
        <w:tc>
          <w:tcPr>
            <w:tcW w:w="5102" w:type="dxa"/>
          </w:tcPr>
          <w:p w14:paraId="59A4BA2D" w14:textId="77777777" w:rsidR="000A2B66" w:rsidRPr="00BF0527" w:rsidRDefault="000A2B66" w:rsidP="00BE7471">
            <w:r w:rsidRPr="00BF0527">
              <w:t>Es un proceso mediante el cual se amplían las oportunidades de los individuos, las más importantes de las cuales son una vida prolongada y saludable, acceso a la educación y el disfrute de un nivel de vida decente. Otras oportunidades incluyen la libertad política, la garantía de los derechos humanos y el respeto a sí mismo (UNDP, 1990).</w:t>
            </w:r>
          </w:p>
        </w:tc>
      </w:tr>
      <w:tr w:rsidR="000A2B66" w:rsidRPr="00BF0527" w14:paraId="2BBCE2A8" w14:textId="77777777" w:rsidTr="0014096A">
        <w:tc>
          <w:tcPr>
            <w:tcW w:w="2268" w:type="dxa"/>
          </w:tcPr>
          <w:p w14:paraId="22BFFEB4" w14:textId="77777777" w:rsidR="000A2B66" w:rsidRPr="00ED4200" w:rsidRDefault="000A2B66" w:rsidP="00FE0EFB">
            <w:pPr>
              <w:rPr>
                <w:lang w:val="en-GB"/>
              </w:rPr>
            </w:pPr>
            <w:r>
              <w:rPr>
                <w:lang w:val="en-GB"/>
              </w:rPr>
              <w:t>Hydro-diplomacy</w:t>
            </w:r>
          </w:p>
        </w:tc>
        <w:tc>
          <w:tcPr>
            <w:tcW w:w="5102" w:type="dxa"/>
          </w:tcPr>
          <w:p w14:paraId="3A9AF617" w14:textId="77777777" w:rsidR="000A2B66" w:rsidRPr="00905F3B" w:rsidRDefault="000A2B66" w:rsidP="00FE0EFB">
            <w:pPr>
              <w:rPr>
                <w:lang w:val="en-GB"/>
              </w:rPr>
            </w:pPr>
            <w:r>
              <w:rPr>
                <w:lang w:val="en-GB"/>
              </w:rPr>
              <w:t>See water diplomacy.</w:t>
            </w:r>
          </w:p>
        </w:tc>
        <w:tc>
          <w:tcPr>
            <w:tcW w:w="2268" w:type="dxa"/>
          </w:tcPr>
          <w:p w14:paraId="65DF9AC2" w14:textId="77777777" w:rsidR="000A2B66" w:rsidRDefault="000A2B66" w:rsidP="00FE0EFB">
            <w:proofErr w:type="spellStart"/>
            <w:r>
              <w:t>Hidrodiplomacia</w:t>
            </w:r>
            <w:proofErr w:type="spellEnd"/>
          </w:p>
        </w:tc>
        <w:tc>
          <w:tcPr>
            <w:tcW w:w="5102" w:type="dxa"/>
          </w:tcPr>
          <w:p w14:paraId="4E40EC7A" w14:textId="77777777" w:rsidR="000A2B66" w:rsidRPr="00ED4200" w:rsidRDefault="000A2B66" w:rsidP="00FE0EFB">
            <w:r>
              <w:t>Ver diplomacia del agua.</w:t>
            </w:r>
          </w:p>
        </w:tc>
      </w:tr>
      <w:tr w:rsidR="000A2B66" w:rsidRPr="00BF0527" w14:paraId="6F318257" w14:textId="77777777" w:rsidTr="0014096A">
        <w:tc>
          <w:tcPr>
            <w:tcW w:w="2268" w:type="dxa"/>
          </w:tcPr>
          <w:p w14:paraId="085014CF" w14:textId="77777777" w:rsidR="000A2B66" w:rsidRPr="00BF0527" w:rsidRDefault="000A2B66" w:rsidP="00FE0EFB">
            <w:pPr>
              <w:rPr>
                <w:lang w:val="en-GB"/>
              </w:rPr>
            </w:pPr>
            <w:r w:rsidRPr="00BF0527">
              <w:rPr>
                <w:lang w:val="en-GB"/>
              </w:rPr>
              <w:t>Implementing partner</w:t>
            </w:r>
          </w:p>
        </w:tc>
        <w:tc>
          <w:tcPr>
            <w:tcW w:w="5102" w:type="dxa"/>
          </w:tcPr>
          <w:p w14:paraId="033B1182" w14:textId="77777777" w:rsidR="000A2B66" w:rsidRPr="00905F3B" w:rsidRDefault="000A2B66" w:rsidP="00FE0EFB">
            <w:pPr>
              <w:rPr>
                <w:lang w:val="en-GB"/>
              </w:rPr>
            </w:pPr>
            <w:r w:rsidRPr="00905F3B">
              <w:rPr>
                <w:lang w:val="en-GB"/>
              </w:rPr>
              <w:t>The entity responsible and accountable for managing a project, including the monitoring and evaluation of project interventions, achieving project outcomes, and for the effective use of GEF resources. A single Implementing Partner is designated to manage each project.</w:t>
            </w:r>
          </w:p>
        </w:tc>
        <w:tc>
          <w:tcPr>
            <w:tcW w:w="2268" w:type="dxa"/>
          </w:tcPr>
          <w:p w14:paraId="0C1B6692" w14:textId="77777777" w:rsidR="000A2B66" w:rsidRPr="00BF0527" w:rsidRDefault="000A2B66" w:rsidP="00FE0EFB">
            <w:r w:rsidRPr="00BF0527">
              <w:t>Socio implementador</w:t>
            </w:r>
          </w:p>
        </w:tc>
        <w:tc>
          <w:tcPr>
            <w:tcW w:w="5102" w:type="dxa"/>
          </w:tcPr>
          <w:p w14:paraId="123AA751" w14:textId="77777777" w:rsidR="000A2B66" w:rsidRPr="00BF0527" w:rsidRDefault="000A2B66" w:rsidP="00FE0EFB">
            <w:r w:rsidRPr="00BF0527">
              <w:t>La entidad responsable y que rinde cuentas por la administración del proyecto, incluyendo el monitoreo y evaluación de las intervenciones del proyecto, el logro de los resultados, y el efectivo uso de los recursos del GEF. Sólo un socio implementador se designa para cada proyecto.</w:t>
            </w:r>
          </w:p>
        </w:tc>
      </w:tr>
      <w:tr w:rsidR="000A2B66" w:rsidRPr="00BF0527" w14:paraId="4AB83829" w14:textId="77777777" w:rsidTr="0014096A">
        <w:tc>
          <w:tcPr>
            <w:tcW w:w="2268" w:type="dxa"/>
          </w:tcPr>
          <w:p w14:paraId="59622FD7" w14:textId="77777777" w:rsidR="000A2B66" w:rsidRPr="00BF0527" w:rsidRDefault="000A2B66" w:rsidP="00FE0EFB">
            <w:pPr>
              <w:rPr>
                <w:lang w:val="en-GB"/>
              </w:rPr>
            </w:pPr>
            <w:r w:rsidRPr="00BF0527">
              <w:rPr>
                <w:lang w:val="en-GB"/>
              </w:rPr>
              <w:t>Indigenous Cabildo</w:t>
            </w:r>
          </w:p>
        </w:tc>
        <w:tc>
          <w:tcPr>
            <w:tcW w:w="5102" w:type="dxa"/>
          </w:tcPr>
          <w:p w14:paraId="26D22073" w14:textId="77777777" w:rsidR="000A2B66" w:rsidRPr="00905F3B" w:rsidRDefault="000A2B66" w:rsidP="00FE0EFB">
            <w:pPr>
              <w:rPr>
                <w:lang w:val="en-GB"/>
              </w:rPr>
            </w:pPr>
            <w:r w:rsidRPr="00905F3B">
              <w:rPr>
                <w:lang w:val="en-GB"/>
              </w:rPr>
              <w:t>In Colombia, it is a special public entity, whose members belong to an indigenous community, elected and recognized by it, with a traditional socio-political organization, whose function is to legally represent the community, exercise authority and carry out the activities attributed to them by the laws, their uses, customs and the internal regulations of each community (Ministry of the Interior).</w:t>
            </w:r>
          </w:p>
        </w:tc>
        <w:tc>
          <w:tcPr>
            <w:tcW w:w="2268" w:type="dxa"/>
          </w:tcPr>
          <w:p w14:paraId="6633B158" w14:textId="77777777" w:rsidR="000A2B66" w:rsidRPr="00BF0527" w:rsidRDefault="000A2B66" w:rsidP="00FE0EFB">
            <w:r w:rsidRPr="00BF0527">
              <w:t>Cabildo indígena</w:t>
            </w:r>
          </w:p>
        </w:tc>
        <w:tc>
          <w:tcPr>
            <w:tcW w:w="5102" w:type="dxa"/>
          </w:tcPr>
          <w:p w14:paraId="68276771" w14:textId="77777777" w:rsidR="000A2B66" w:rsidRPr="00BF0527" w:rsidRDefault="000A2B66" w:rsidP="00FE0EFB">
            <w:r w:rsidRPr="00BF0527">
              <w:t>En Colombia, es una entidad pública especial, cuyos integrantes son miembros de una comunidad indígena, elegidos y reconocidos por ésta, con una organización sociopolítica tradicional, cuya función es representar legalmente a la comunidad, ejercer la autoridad y realizar las actividades que le atribuyen las leyes, sus usos, costumbres y el reglamento interno de cada comunidad (Ministerio del Interior).</w:t>
            </w:r>
          </w:p>
        </w:tc>
      </w:tr>
      <w:tr w:rsidR="000A2B66" w:rsidRPr="00BF0527" w14:paraId="17BC54C1" w14:textId="77777777" w:rsidTr="0014096A">
        <w:tc>
          <w:tcPr>
            <w:tcW w:w="2268" w:type="dxa"/>
          </w:tcPr>
          <w:p w14:paraId="184F5C22" w14:textId="77777777" w:rsidR="000A2B66" w:rsidRPr="00BF0527" w:rsidRDefault="000A2B66" w:rsidP="00FE0EFB">
            <w:pPr>
              <w:rPr>
                <w:lang w:val="en-GB"/>
              </w:rPr>
            </w:pPr>
            <w:r w:rsidRPr="00BF0527">
              <w:rPr>
                <w:lang w:val="en-GB"/>
              </w:rPr>
              <w:t>Indigenous reserves</w:t>
            </w:r>
          </w:p>
        </w:tc>
        <w:tc>
          <w:tcPr>
            <w:tcW w:w="5102" w:type="dxa"/>
          </w:tcPr>
          <w:p w14:paraId="378E32A8" w14:textId="77777777" w:rsidR="000A2B66" w:rsidRPr="00905F3B" w:rsidRDefault="000A2B66" w:rsidP="00FE0EFB">
            <w:pPr>
              <w:rPr>
                <w:lang w:val="en-GB"/>
              </w:rPr>
            </w:pPr>
            <w:r w:rsidRPr="00905F3B">
              <w:rPr>
                <w:lang w:val="en-GB"/>
              </w:rPr>
              <w:t>In Colombia, the indigenous reserves (</w:t>
            </w:r>
            <w:proofErr w:type="spellStart"/>
            <w:r w:rsidRPr="00905F3B">
              <w:rPr>
                <w:lang w:val="en-GB"/>
              </w:rPr>
              <w:t>resguardos</w:t>
            </w:r>
            <w:proofErr w:type="spellEnd"/>
            <w:r w:rsidRPr="00905F3B">
              <w:rPr>
                <w:lang w:val="en-GB"/>
              </w:rPr>
              <w:t xml:space="preserve"> </w:t>
            </w:r>
            <w:proofErr w:type="spellStart"/>
            <w:r w:rsidRPr="00905F3B">
              <w:rPr>
                <w:lang w:val="en-GB"/>
              </w:rPr>
              <w:t>indigenas</w:t>
            </w:r>
            <w:proofErr w:type="spellEnd"/>
            <w:r w:rsidRPr="00905F3B">
              <w:rPr>
                <w:lang w:val="en-GB"/>
              </w:rPr>
              <w:t>) are the collective property of the indigenous communities in favour of which they are constituted and, in accordance with articles 63 and 329 of the Political Constitution, they are inalienable, imprescriptible and indefeasible. The indigenous reserves are a special legal and socio-political institution, made up of one or more indigenous communities, that with a collective property title that enjoys the guarantees of private property, possesses its territory and is governed for its management and its internal life by an autonomous organization protected by the indigenous jurisdiction and its own normative system. (Article 21, decree 2164 of 1995) (Ministry of the Interior).</w:t>
            </w:r>
          </w:p>
        </w:tc>
        <w:tc>
          <w:tcPr>
            <w:tcW w:w="2268" w:type="dxa"/>
          </w:tcPr>
          <w:p w14:paraId="653A3A9C" w14:textId="77777777" w:rsidR="000A2B66" w:rsidRPr="00BF0527" w:rsidRDefault="000A2B66" w:rsidP="00FE0EFB">
            <w:r w:rsidRPr="00BF0527">
              <w:t>Resguardo indígena</w:t>
            </w:r>
          </w:p>
        </w:tc>
        <w:tc>
          <w:tcPr>
            <w:tcW w:w="5102" w:type="dxa"/>
          </w:tcPr>
          <w:p w14:paraId="05E75BE0" w14:textId="77777777" w:rsidR="000A2B66" w:rsidRPr="00BF0527" w:rsidRDefault="000A2B66" w:rsidP="00FE0EFB">
            <w:r w:rsidRPr="00BF0527">
              <w:t>En Colombia, los resguardos indígenas son propiedad colectiva de las comunidades indígenas a favor de las cuales se constituyen y conforme a los artículos 63 y 329 de la Constitución Política, tienen el carácter de inalienables, imprescriptibles e inembargables. Los resguardos indígenas son una institución legal y sociopolítica de carácter especial, conformada por una o más comunidades indígenas, que con un título de propiedad colectiva que goza de las garantías de la propiedad privada, poseen su territorio y se rigen para el manejo de éste y su vida interna por una organización autónoma amparada por el fuero indígena y su sistema normativo propio. (Artículo 21, decreto 2164 de 1995) (Ministerio del Interior).</w:t>
            </w:r>
          </w:p>
        </w:tc>
      </w:tr>
      <w:tr w:rsidR="000A2B66" w:rsidRPr="00BF0527" w14:paraId="6140D0B3" w14:textId="77777777" w:rsidTr="0014096A">
        <w:tc>
          <w:tcPr>
            <w:tcW w:w="2268" w:type="dxa"/>
          </w:tcPr>
          <w:p w14:paraId="2F0C2251" w14:textId="77777777" w:rsidR="000A2B66" w:rsidRPr="00BF0527" w:rsidRDefault="000A2B66" w:rsidP="00FE0EFB">
            <w:pPr>
              <w:rPr>
                <w:lang w:val="en-GB"/>
              </w:rPr>
            </w:pPr>
            <w:r w:rsidRPr="00BF0527">
              <w:rPr>
                <w:lang w:val="en-GB"/>
              </w:rPr>
              <w:t>Key stakeholders</w:t>
            </w:r>
          </w:p>
        </w:tc>
        <w:tc>
          <w:tcPr>
            <w:tcW w:w="5102" w:type="dxa"/>
          </w:tcPr>
          <w:p w14:paraId="7F8D4BB9" w14:textId="77777777" w:rsidR="000A2B66" w:rsidRPr="00905F3B" w:rsidRDefault="000A2B66" w:rsidP="00FE0EFB">
            <w:pPr>
              <w:rPr>
                <w:lang w:val="en-GB"/>
              </w:rPr>
            </w:pPr>
            <w:r w:rsidRPr="00905F3B">
              <w:rPr>
                <w:lang w:val="en-GB"/>
              </w:rPr>
              <w:t>Key stakeholders are those with whom the project's outputs will be directly worked.</w:t>
            </w:r>
          </w:p>
        </w:tc>
        <w:tc>
          <w:tcPr>
            <w:tcW w:w="2268" w:type="dxa"/>
          </w:tcPr>
          <w:p w14:paraId="6A9EF14A" w14:textId="77777777" w:rsidR="000A2B66" w:rsidRPr="00BF0527" w:rsidRDefault="000A2B66" w:rsidP="00FE0EFB">
            <w:r w:rsidRPr="00BF0527">
              <w:t>Actores clave</w:t>
            </w:r>
          </w:p>
        </w:tc>
        <w:tc>
          <w:tcPr>
            <w:tcW w:w="5102" w:type="dxa"/>
          </w:tcPr>
          <w:p w14:paraId="6E9B921A" w14:textId="77777777" w:rsidR="000A2B66" w:rsidRPr="00BF0527" w:rsidRDefault="000A2B66" w:rsidP="004B6E32">
            <w:pPr>
              <w:tabs>
                <w:tab w:val="left" w:pos="930"/>
              </w:tabs>
            </w:pPr>
            <w:r w:rsidRPr="00BF0527">
              <w:t>Actores clave son aquellos con los que directamente se trabajarán los productos del proyecto.</w:t>
            </w:r>
          </w:p>
        </w:tc>
      </w:tr>
      <w:tr w:rsidR="000A2B66" w:rsidRPr="00BF0527" w14:paraId="5F937810" w14:textId="77777777" w:rsidTr="0014096A">
        <w:tc>
          <w:tcPr>
            <w:tcW w:w="2268" w:type="dxa"/>
          </w:tcPr>
          <w:p w14:paraId="0E935A8B" w14:textId="77777777" w:rsidR="000A2B66" w:rsidRPr="00BF0527" w:rsidRDefault="000A2B66" w:rsidP="00FE0EFB">
            <w:pPr>
              <w:rPr>
                <w:lang w:val="en-GB"/>
              </w:rPr>
            </w:pPr>
            <w:r w:rsidRPr="00BF0527">
              <w:rPr>
                <w:lang w:val="en-GB"/>
              </w:rPr>
              <w:t>National implementation modality (NIM)</w:t>
            </w:r>
          </w:p>
        </w:tc>
        <w:tc>
          <w:tcPr>
            <w:tcW w:w="5102" w:type="dxa"/>
          </w:tcPr>
          <w:p w14:paraId="46052F1B" w14:textId="77777777" w:rsidR="000A2B66" w:rsidRPr="00905F3B" w:rsidRDefault="000A2B66" w:rsidP="00FE0EFB">
            <w:pPr>
              <w:rPr>
                <w:lang w:val="en-GB"/>
              </w:rPr>
            </w:pPr>
            <w:r w:rsidRPr="00905F3B">
              <w:rPr>
                <w:lang w:val="en-GB"/>
              </w:rPr>
              <w:t>National authorities undertake the functions and activities of the project. The implementation of the projects requires that the national institution act as “implementing partner”.</w:t>
            </w:r>
          </w:p>
        </w:tc>
        <w:tc>
          <w:tcPr>
            <w:tcW w:w="2268" w:type="dxa"/>
          </w:tcPr>
          <w:p w14:paraId="4FED09E1" w14:textId="77777777" w:rsidR="000A2B66" w:rsidRPr="00BF0527" w:rsidRDefault="000A2B66" w:rsidP="00FE0EFB">
            <w:r w:rsidRPr="00BF0527">
              <w:t>Modalidad de implementación nacional (NIM)</w:t>
            </w:r>
          </w:p>
        </w:tc>
        <w:tc>
          <w:tcPr>
            <w:tcW w:w="5102" w:type="dxa"/>
          </w:tcPr>
          <w:p w14:paraId="53A0EC3B" w14:textId="77777777" w:rsidR="000A2B66" w:rsidRPr="00BF0527" w:rsidRDefault="000A2B66" w:rsidP="004B6E32">
            <w:pPr>
              <w:tabs>
                <w:tab w:val="left" w:pos="930"/>
              </w:tabs>
            </w:pPr>
            <w:r w:rsidRPr="00BF0527">
              <w:t>Las autoridades nacionales llevan a cabo las funciones y actividades del proyecto. La implementación de los proyectos requiere que la institución nacional actúe como "socio implementador”.</w:t>
            </w:r>
          </w:p>
        </w:tc>
      </w:tr>
      <w:tr w:rsidR="000A2B66" w:rsidRPr="00BF0527" w14:paraId="62312956" w14:textId="77777777" w:rsidTr="0014096A">
        <w:tc>
          <w:tcPr>
            <w:tcW w:w="2268" w:type="dxa"/>
          </w:tcPr>
          <w:p w14:paraId="3771D57B" w14:textId="77777777" w:rsidR="000A2B66" w:rsidRPr="00BF0527" w:rsidRDefault="000A2B66" w:rsidP="00FE0EFB">
            <w:pPr>
              <w:rPr>
                <w:lang w:val="en-GB"/>
              </w:rPr>
            </w:pPr>
            <w:r w:rsidRPr="00BF0527">
              <w:rPr>
                <w:lang w:val="en-GB"/>
              </w:rPr>
              <w:t>Non-state entities</w:t>
            </w:r>
          </w:p>
        </w:tc>
        <w:tc>
          <w:tcPr>
            <w:tcW w:w="5102" w:type="dxa"/>
          </w:tcPr>
          <w:p w14:paraId="25179718" w14:textId="77777777" w:rsidR="000A2B66" w:rsidRPr="00905F3B" w:rsidRDefault="000A2B66" w:rsidP="004F577E">
            <w:pPr>
              <w:rPr>
                <w:lang w:val="en-GB"/>
              </w:rPr>
            </w:pPr>
            <w:r w:rsidRPr="00905F3B">
              <w:rPr>
                <w:lang w:val="en-GB"/>
              </w:rPr>
              <w:t>Entities that are independent of the government such as civil society organizations, farmers associations or community groups.</w:t>
            </w:r>
          </w:p>
        </w:tc>
        <w:tc>
          <w:tcPr>
            <w:tcW w:w="2268" w:type="dxa"/>
          </w:tcPr>
          <w:p w14:paraId="150C2B2B" w14:textId="77777777" w:rsidR="000A2B66" w:rsidRPr="00BF0527" w:rsidRDefault="000A2B66" w:rsidP="00FE0EFB">
            <w:r w:rsidRPr="00BF0527">
              <w:t>Entidades no estatales</w:t>
            </w:r>
          </w:p>
        </w:tc>
        <w:tc>
          <w:tcPr>
            <w:tcW w:w="5102" w:type="dxa"/>
          </w:tcPr>
          <w:p w14:paraId="0EE0D3FC" w14:textId="77777777" w:rsidR="000A2B66" w:rsidRPr="00BF0527" w:rsidRDefault="000A2B66" w:rsidP="005A4F30">
            <w:pPr>
              <w:tabs>
                <w:tab w:val="left" w:pos="930"/>
              </w:tabs>
            </w:pPr>
            <w:r w:rsidRPr="00BF0527">
              <w:t>Entidades que son independientes del gobierno, tales como organizaciones de la sociedad civil, asociaciones de agricultores o grupos comunitarios.</w:t>
            </w:r>
          </w:p>
        </w:tc>
      </w:tr>
      <w:tr w:rsidR="000A2B66" w:rsidRPr="00BF0527" w14:paraId="79469F6E" w14:textId="77777777" w:rsidTr="0014096A">
        <w:tc>
          <w:tcPr>
            <w:tcW w:w="2268" w:type="dxa"/>
          </w:tcPr>
          <w:p w14:paraId="130BAA54" w14:textId="77777777" w:rsidR="000A2B66" w:rsidRPr="00BF0527" w:rsidRDefault="000A2B66" w:rsidP="00FE0EFB">
            <w:pPr>
              <w:rPr>
                <w:lang w:val="en-GB"/>
              </w:rPr>
            </w:pPr>
            <w:r w:rsidRPr="00BF0527">
              <w:rPr>
                <w:lang w:val="en-GB"/>
              </w:rPr>
              <w:t>Project partner</w:t>
            </w:r>
          </w:p>
        </w:tc>
        <w:tc>
          <w:tcPr>
            <w:tcW w:w="5102" w:type="dxa"/>
          </w:tcPr>
          <w:p w14:paraId="41920313" w14:textId="77777777" w:rsidR="000A2B66" w:rsidRPr="00905F3B" w:rsidRDefault="000A2B66" w:rsidP="00FE0EFB">
            <w:pPr>
              <w:rPr>
                <w:lang w:val="en-GB"/>
              </w:rPr>
            </w:pPr>
            <w:r w:rsidRPr="00905F3B">
              <w:rPr>
                <w:lang w:val="en-GB"/>
              </w:rPr>
              <w:t>An entity that directly contributes to the execution of the project.</w:t>
            </w:r>
          </w:p>
        </w:tc>
        <w:tc>
          <w:tcPr>
            <w:tcW w:w="2268" w:type="dxa"/>
          </w:tcPr>
          <w:p w14:paraId="198CD056" w14:textId="77777777" w:rsidR="000A2B66" w:rsidRPr="00BF0527" w:rsidRDefault="000A2B66" w:rsidP="00FE0EFB">
            <w:r w:rsidRPr="00BF0527">
              <w:t>Socio del proyecto</w:t>
            </w:r>
          </w:p>
        </w:tc>
        <w:tc>
          <w:tcPr>
            <w:tcW w:w="5102" w:type="dxa"/>
          </w:tcPr>
          <w:p w14:paraId="4A214450" w14:textId="77777777" w:rsidR="000A2B66" w:rsidRPr="00BF0527" w:rsidRDefault="000A2B66" w:rsidP="00FE0EFB">
            <w:r w:rsidRPr="00BF0527">
              <w:t>Es una entidad que contribuye directamente a la ejecución del proyecto.</w:t>
            </w:r>
          </w:p>
        </w:tc>
      </w:tr>
      <w:tr w:rsidR="000A2B66" w:rsidRPr="00BF0527" w14:paraId="7F21CD39" w14:textId="77777777" w:rsidTr="0014096A">
        <w:tc>
          <w:tcPr>
            <w:tcW w:w="2268" w:type="dxa"/>
          </w:tcPr>
          <w:p w14:paraId="255F2E28" w14:textId="77777777" w:rsidR="000A2B66" w:rsidRPr="00BF0527" w:rsidRDefault="000A2B66" w:rsidP="00FE0EFB">
            <w:pPr>
              <w:rPr>
                <w:lang w:val="en-GB"/>
              </w:rPr>
            </w:pPr>
            <w:r w:rsidRPr="00BF0527">
              <w:rPr>
                <w:lang w:val="en-GB"/>
              </w:rPr>
              <w:t>Social inclusion</w:t>
            </w:r>
          </w:p>
        </w:tc>
        <w:tc>
          <w:tcPr>
            <w:tcW w:w="5102" w:type="dxa"/>
          </w:tcPr>
          <w:p w14:paraId="4F7A7D49" w14:textId="77777777" w:rsidR="000A2B66" w:rsidRPr="00905F3B" w:rsidRDefault="000A2B66" w:rsidP="00FE0EFB">
            <w:pPr>
              <w:rPr>
                <w:lang w:val="en-GB"/>
              </w:rPr>
            </w:pPr>
            <w:r w:rsidRPr="00905F3B">
              <w:rPr>
                <w:lang w:val="en-GB"/>
              </w:rPr>
              <w:t xml:space="preserve">Social inclusion is </w:t>
            </w:r>
            <w:proofErr w:type="gramStart"/>
            <w:r w:rsidRPr="00905F3B">
              <w:rPr>
                <w:lang w:val="en-GB"/>
              </w:rPr>
              <w:t>defined  as</w:t>
            </w:r>
            <w:proofErr w:type="gramEnd"/>
            <w:r w:rsidRPr="00905F3B">
              <w:rPr>
                <w:lang w:val="en-GB"/>
              </w:rPr>
              <w:t xml:space="preserve">  the  process  of  improving  the  terms  of  participation  in  society,  particularly  for  people  who  are  disadvantaged,  through  enhancing  opportunities, access to resources, voice and respect for rights (UN, 2016).</w:t>
            </w:r>
          </w:p>
        </w:tc>
        <w:tc>
          <w:tcPr>
            <w:tcW w:w="2268" w:type="dxa"/>
          </w:tcPr>
          <w:p w14:paraId="292541AC" w14:textId="77777777" w:rsidR="000A2B66" w:rsidRPr="00BF0527" w:rsidRDefault="000A2B66" w:rsidP="00FE0EFB">
            <w:r w:rsidRPr="00BF0527">
              <w:t>Inclusión social</w:t>
            </w:r>
          </w:p>
        </w:tc>
        <w:tc>
          <w:tcPr>
            <w:tcW w:w="5102" w:type="dxa"/>
          </w:tcPr>
          <w:p w14:paraId="15552965" w14:textId="77777777" w:rsidR="000A2B66" w:rsidRPr="00BF0527" w:rsidRDefault="000A2B66" w:rsidP="00FE0EFB">
            <w:r w:rsidRPr="00BF0527">
              <w:t>La inclusión social se define como el proceso para mejorar los términos de la participación en la sociedad, especialmente para las personas desfavorecidas, mediante la mejora de las oportunidades, el acceso a los recursos, la voz y el respeto de los derechos (UN, 2016).</w:t>
            </w:r>
          </w:p>
        </w:tc>
      </w:tr>
      <w:tr w:rsidR="000A2B66" w:rsidRPr="00BF0527" w14:paraId="22D51C78" w14:textId="77777777" w:rsidTr="0014096A">
        <w:tc>
          <w:tcPr>
            <w:tcW w:w="2268" w:type="dxa"/>
          </w:tcPr>
          <w:p w14:paraId="4ECAF320" w14:textId="77777777" w:rsidR="000A2B66" w:rsidRPr="00BF0527" w:rsidRDefault="000A2B66" w:rsidP="00FE0EFB">
            <w:pPr>
              <w:rPr>
                <w:lang w:val="en-GB"/>
              </w:rPr>
            </w:pPr>
            <w:r w:rsidRPr="00BF0527">
              <w:rPr>
                <w:lang w:val="en-GB"/>
              </w:rPr>
              <w:t>Standard letter of agreement between UNDP and the government for the provision of support services, abbreviated (LOA)</w:t>
            </w:r>
          </w:p>
        </w:tc>
        <w:tc>
          <w:tcPr>
            <w:tcW w:w="5102" w:type="dxa"/>
          </w:tcPr>
          <w:p w14:paraId="5ADDF05C" w14:textId="77777777" w:rsidR="000A2B66" w:rsidRPr="00905F3B" w:rsidRDefault="000A2B66" w:rsidP="00FE0EFB">
            <w:pPr>
              <w:rPr>
                <w:lang w:val="en-GB"/>
              </w:rPr>
            </w:pPr>
            <w:r w:rsidRPr="00905F3B">
              <w:rPr>
                <w:lang w:val="en-GB"/>
              </w:rPr>
              <w:t>This Letter is used when a government ministry/institution or an international governmental organization cooperates with UNDP to carry out activities when UNDP provides support services to a NIM project.</w:t>
            </w:r>
          </w:p>
        </w:tc>
        <w:tc>
          <w:tcPr>
            <w:tcW w:w="2268" w:type="dxa"/>
          </w:tcPr>
          <w:p w14:paraId="0F5ADC2E" w14:textId="77777777" w:rsidR="000A2B66" w:rsidRPr="00BF0527" w:rsidRDefault="000A2B66" w:rsidP="00FE0EFB">
            <w:r w:rsidRPr="00BF0527">
              <w:t>Carta de acuerdo estándar entre el PNUD y el gobierno para la prestación de servicios de apoyo (LOA)</w:t>
            </w:r>
          </w:p>
        </w:tc>
        <w:tc>
          <w:tcPr>
            <w:tcW w:w="5102" w:type="dxa"/>
          </w:tcPr>
          <w:p w14:paraId="2BBD93A0" w14:textId="77777777" w:rsidR="000A2B66" w:rsidRPr="00BF0527" w:rsidRDefault="000A2B66" w:rsidP="00FE0EFB">
            <w:r w:rsidRPr="00BF0527">
              <w:t>Esta carta se utiliza cuando un ministerio / institución del gobierno o una organización gubernamental internacional coopera con el PNUD para llevar a cabo actividades cuando el PNUD presta servicios de apoyo a un proyecto NIM.</w:t>
            </w:r>
          </w:p>
        </w:tc>
      </w:tr>
      <w:tr w:rsidR="000A2B66" w:rsidRPr="00BF0527" w14:paraId="645E90C0" w14:textId="77777777" w:rsidTr="0014096A">
        <w:tc>
          <w:tcPr>
            <w:tcW w:w="2268" w:type="dxa"/>
          </w:tcPr>
          <w:p w14:paraId="64B1FC09" w14:textId="77777777" w:rsidR="000A2B66" w:rsidRPr="00BF0527" w:rsidRDefault="000A2B66" w:rsidP="00FE0EFB">
            <w:pPr>
              <w:rPr>
                <w:lang w:val="en-GB"/>
              </w:rPr>
            </w:pPr>
            <w:r w:rsidRPr="00BF0527">
              <w:rPr>
                <w:lang w:val="en-GB"/>
              </w:rPr>
              <w:t>Support services to national implementation</w:t>
            </w:r>
          </w:p>
        </w:tc>
        <w:tc>
          <w:tcPr>
            <w:tcW w:w="5102" w:type="dxa"/>
          </w:tcPr>
          <w:p w14:paraId="1B1EDA4F" w14:textId="77777777" w:rsidR="000A2B66" w:rsidRPr="00905F3B" w:rsidRDefault="000A2B66" w:rsidP="00FE0EFB">
            <w:pPr>
              <w:rPr>
                <w:lang w:val="en-GB"/>
              </w:rPr>
            </w:pPr>
            <w:r w:rsidRPr="00905F3B">
              <w:rPr>
                <w:lang w:val="en-GB"/>
              </w:rPr>
              <w:t xml:space="preserve">This is where the implementing partner and UNDP have agreed that UNDP will provide support services to the project </w:t>
            </w:r>
            <w:proofErr w:type="gramStart"/>
            <w:r w:rsidRPr="00905F3B">
              <w:rPr>
                <w:lang w:val="en-GB"/>
              </w:rPr>
              <w:t>on the basis of</w:t>
            </w:r>
            <w:proofErr w:type="gramEnd"/>
            <w:r w:rsidRPr="00905F3B">
              <w:rPr>
                <w:lang w:val="en-GB"/>
              </w:rPr>
              <w:t xml:space="preserve"> an agreement with the government on the provision of services by UNDP (standard letter of agreement between UNDP and the government for the provision of support services, abbreviated LOA).</w:t>
            </w:r>
          </w:p>
        </w:tc>
        <w:tc>
          <w:tcPr>
            <w:tcW w:w="2268" w:type="dxa"/>
          </w:tcPr>
          <w:p w14:paraId="09A9D7E7" w14:textId="77777777" w:rsidR="000A2B66" w:rsidRPr="00BF0527" w:rsidRDefault="000A2B66" w:rsidP="00FE0EFB">
            <w:r w:rsidRPr="00BF0527">
              <w:t>Servicios de apoyo a la implementación nacional</w:t>
            </w:r>
          </w:p>
        </w:tc>
        <w:tc>
          <w:tcPr>
            <w:tcW w:w="5102" w:type="dxa"/>
          </w:tcPr>
          <w:p w14:paraId="53CC6C2B" w14:textId="77777777" w:rsidR="000A2B66" w:rsidRPr="00BF0527" w:rsidRDefault="000A2B66" w:rsidP="00FE0EFB">
            <w:r w:rsidRPr="00BF0527">
              <w:t>Aquí es cuando el socio implementador y el PNUD han acordado que el PNUD brindará servicios de apoyo al proyecto sobre la base de un acuerdo con el gobierno para la prestación de servicios por parte del PNUD (carta de acuerdo estándar entre el PNUD y el gobierno para la prestación de servicios de apoyo, abreviada LOA).</w:t>
            </w:r>
          </w:p>
        </w:tc>
      </w:tr>
      <w:tr w:rsidR="000A2B66" w:rsidRPr="00BF0527" w14:paraId="4E166DB8" w14:textId="77777777" w:rsidTr="0014096A">
        <w:tc>
          <w:tcPr>
            <w:tcW w:w="2268" w:type="dxa"/>
          </w:tcPr>
          <w:p w14:paraId="1AE3FB81" w14:textId="77777777" w:rsidR="000A2B66" w:rsidRPr="00BF0527" w:rsidRDefault="000A2B66" w:rsidP="00FE0EFB">
            <w:pPr>
              <w:rPr>
                <w:lang w:val="en-GB"/>
              </w:rPr>
            </w:pPr>
            <w:r w:rsidRPr="00BF0527">
              <w:rPr>
                <w:lang w:val="en-GB"/>
              </w:rPr>
              <w:t>Sustainable event</w:t>
            </w:r>
          </w:p>
        </w:tc>
        <w:tc>
          <w:tcPr>
            <w:tcW w:w="5102" w:type="dxa"/>
          </w:tcPr>
          <w:p w14:paraId="373450F7" w14:textId="77777777" w:rsidR="000A2B66" w:rsidRPr="00905F3B" w:rsidRDefault="000A2B66" w:rsidP="00FE0EFB">
            <w:pPr>
              <w:rPr>
                <w:lang w:val="en-GB"/>
              </w:rPr>
            </w:pPr>
            <w:r w:rsidRPr="00905F3B">
              <w:rPr>
                <w:lang w:val="en-GB"/>
              </w:rPr>
              <w:t>A sustainable event is one designed, organised and implemented in a way that minimises potential negative impacts and leaves a beneficial legacy for the host community and all involved (UNEP, 2012).</w:t>
            </w:r>
          </w:p>
        </w:tc>
        <w:tc>
          <w:tcPr>
            <w:tcW w:w="2268" w:type="dxa"/>
          </w:tcPr>
          <w:p w14:paraId="6D12EA0C" w14:textId="77777777" w:rsidR="000A2B66" w:rsidRPr="00BF0527" w:rsidRDefault="000A2B66" w:rsidP="00FE0EFB">
            <w:r w:rsidRPr="00BF0527">
              <w:t>Evento sostenible</w:t>
            </w:r>
          </w:p>
        </w:tc>
        <w:tc>
          <w:tcPr>
            <w:tcW w:w="5102" w:type="dxa"/>
          </w:tcPr>
          <w:p w14:paraId="09A9B1CB" w14:textId="77777777" w:rsidR="000A2B66" w:rsidRPr="00BF0527" w:rsidRDefault="000A2B66" w:rsidP="00FE0EFB">
            <w:r w:rsidRPr="00BF0527">
              <w:t>Un evento sostenible es aquel diseñado, organizado e implementado de una manera que minimice los posibles impactos negativos y deje un legado beneficioso para la comunidad de acogida y todos los involucrados (UNEP, 2012).</w:t>
            </w:r>
          </w:p>
        </w:tc>
      </w:tr>
      <w:tr w:rsidR="000A2B66" w:rsidRPr="00BF0527" w14:paraId="4F533BE8" w14:textId="77777777" w:rsidTr="0014096A">
        <w:tc>
          <w:tcPr>
            <w:tcW w:w="2268" w:type="dxa"/>
          </w:tcPr>
          <w:p w14:paraId="4D7C15CB" w14:textId="77777777" w:rsidR="000A2B66" w:rsidRPr="00BF0527" w:rsidRDefault="000A2B66" w:rsidP="00FE0EFB">
            <w:pPr>
              <w:rPr>
                <w:lang w:val="en-GB"/>
              </w:rPr>
            </w:pPr>
            <w:r w:rsidRPr="00BF0527">
              <w:rPr>
                <w:lang w:val="en-GB"/>
              </w:rPr>
              <w:t>Sustainable human development</w:t>
            </w:r>
          </w:p>
        </w:tc>
        <w:tc>
          <w:tcPr>
            <w:tcW w:w="5102" w:type="dxa"/>
          </w:tcPr>
          <w:p w14:paraId="2C5CE071" w14:textId="77777777" w:rsidR="000A2B66" w:rsidRPr="00905F3B" w:rsidRDefault="000A2B66" w:rsidP="00CD6948">
            <w:pPr>
              <w:rPr>
                <w:lang w:val="en-GB"/>
              </w:rPr>
            </w:pPr>
            <w:r w:rsidRPr="00905F3B">
              <w:rPr>
                <w:lang w:val="en-GB"/>
              </w:rPr>
              <w:t>The expansion of the substantive freedoms of people today while making reasonable efforts to avoid seriously compromising those of future generations (UNDP, 2011).</w:t>
            </w:r>
          </w:p>
        </w:tc>
        <w:tc>
          <w:tcPr>
            <w:tcW w:w="2268" w:type="dxa"/>
          </w:tcPr>
          <w:p w14:paraId="021B24C6" w14:textId="77777777" w:rsidR="000A2B66" w:rsidRPr="00BF0527" w:rsidRDefault="000A2B66" w:rsidP="00FE0EFB">
            <w:r w:rsidRPr="00BF0527">
              <w:t>Desarrollo humano sostenible</w:t>
            </w:r>
          </w:p>
        </w:tc>
        <w:tc>
          <w:tcPr>
            <w:tcW w:w="5102" w:type="dxa"/>
          </w:tcPr>
          <w:p w14:paraId="665E6B9C" w14:textId="77777777" w:rsidR="000A2B66" w:rsidRPr="00BF0527" w:rsidRDefault="000A2B66" w:rsidP="00BE7471">
            <w:r w:rsidRPr="00BF0527">
              <w:t>La expansión de las libertades sustantivas de las personas hoy en día, mientras se hacen esfuerzos razonables para evitar comprometer seriamente a las generaciones futuras (UNDP, 2011).</w:t>
            </w:r>
          </w:p>
        </w:tc>
      </w:tr>
      <w:tr w:rsidR="000A2B66" w:rsidRPr="00BF0527" w14:paraId="304D039F" w14:textId="77777777" w:rsidTr="0014096A">
        <w:tc>
          <w:tcPr>
            <w:tcW w:w="2268" w:type="dxa"/>
          </w:tcPr>
          <w:p w14:paraId="472E03E7" w14:textId="77777777" w:rsidR="000A2B66" w:rsidRPr="00BF0527" w:rsidRDefault="000A2B66" w:rsidP="00FE0EFB">
            <w:pPr>
              <w:rPr>
                <w:lang w:val="en-GB"/>
              </w:rPr>
            </w:pPr>
            <w:r w:rsidRPr="00BF0527">
              <w:rPr>
                <w:lang w:val="en-GB"/>
              </w:rPr>
              <w:t>Unique visitors</w:t>
            </w:r>
          </w:p>
        </w:tc>
        <w:tc>
          <w:tcPr>
            <w:tcW w:w="5102" w:type="dxa"/>
          </w:tcPr>
          <w:p w14:paraId="4B589FD7" w14:textId="77777777" w:rsidR="000A2B66" w:rsidRPr="00905F3B" w:rsidRDefault="000A2B66" w:rsidP="00FE0EFB">
            <w:pPr>
              <w:rPr>
                <w:lang w:val="en-GB"/>
              </w:rPr>
            </w:pPr>
            <w:r w:rsidRPr="00905F3B">
              <w:rPr>
                <w:lang w:val="en-GB"/>
              </w:rPr>
              <w:t>A count of how many different people access a Web site. It refers to the number of distinct individuals requesting pages from the website during a given period, regardless of how often they visit.</w:t>
            </w:r>
          </w:p>
        </w:tc>
        <w:tc>
          <w:tcPr>
            <w:tcW w:w="2268" w:type="dxa"/>
          </w:tcPr>
          <w:p w14:paraId="21F8DCAA" w14:textId="77777777" w:rsidR="000A2B66" w:rsidRPr="00BF0527" w:rsidRDefault="000A2B66" w:rsidP="00FE0EFB">
            <w:r w:rsidRPr="00BF0527">
              <w:t>Visitas únicas</w:t>
            </w:r>
          </w:p>
        </w:tc>
        <w:tc>
          <w:tcPr>
            <w:tcW w:w="5102" w:type="dxa"/>
          </w:tcPr>
          <w:p w14:paraId="63362C43" w14:textId="77777777" w:rsidR="000A2B66" w:rsidRPr="00BF0527" w:rsidRDefault="000A2B66" w:rsidP="00FE0EFB">
            <w:proofErr w:type="gramStart"/>
            <w:r w:rsidRPr="00BF0527">
              <w:t>Un recuento de cuántas personas diferentes acceden</w:t>
            </w:r>
            <w:proofErr w:type="gramEnd"/>
            <w:r w:rsidRPr="00BF0527">
              <w:t xml:space="preserve"> a un sitio web. Se refiere a la cantidad de personas distintas que solicitan páginas del sitio web durante un período determinado, independientemente de la frecuencia con la que las visitan.</w:t>
            </w:r>
          </w:p>
        </w:tc>
      </w:tr>
      <w:tr w:rsidR="000A2B66" w:rsidRPr="00BF0527" w14:paraId="5B61C635" w14:textId="77777777" w:rsidTr="0014096A">
        <w:tc>
          <w:tcPr>
            <w:tcW w:w="2268" w:type="dxa"/>
          </w:tcPr>
          <w:p w14:paraId="1590B937" w14:textId="77777777" w:rsidR="000A2B66" w:rsidRPr="00BF0527" w:rsidRDefault="000A2B66" w:rsidP="00FE0EFB">
            <w:pPr>
              <w:rPr>
                <w:lang w:val="en-GB"/>
              </w:rPr>
            </w:pPr>
            <w:r w:rsidRPr="00BF0527">
              <w:rPr>
                <w:lang w:val="en-GB"/>
              </w:rPr>
              <w:t>Universal Price List (UPL)</w:t>
            </w:r>
          </w:p>
        </w:tc>
        <w:tc>
          <w:tcPr>
            <w:tcW w:w="5102" w:type="dxa"/>
          </w:tcPr>
          <w:p w14:paraId="6C1E2D46" w14:textId="77777777" w:rsidR="000A2B66" w:rsidRPr="00905F3B" w:rsidRDefault="000A2B66" w:rsidP="00CD6948">
            <w:pPr>
              <w:rPr>
                <w:lang w:val="en-GB"/>
              </w:rPr>
            </w:pPr>
            <w:r w:rsidRPr="00905F3B">
              <w:rPr>
                <w:lang w:val="en-GB"/>
              </w:rPr>
              <w:t>This is a menu of standardized services available to entities from all UNDP´s offices and their corresponding transaction cost.</w:t>
            </w:r>
          </w:p>
        </w:tc>
        <w:tc>
          <w:tcPr>
            <w:tcW w:w="2268" w:type="dxa"/>
          </w:tcPr>
          <w:p w14:paraId="5CBBBC68" w14:textId="77777777" w:rsidR="000A2B66" w:rsidRPr="00BF0527" w:rsidRDefault="000A2B66" w:rsidP="00FE0EFB">
            <w:r w:rsidRPr="00BF0527">
              <w:t>Lista Universal de Precios</w:t>
            </w:r>
          </w:p>
        </w:tc>
        <w:tc>
          <w:tcPr>
            <w:tcW w:w="5102" w:type="dxa"/>
          </w:tcPr>
          <w:p w14:paraId="2937C3DD" w14:textId="77777777" w:rsidR="000A2B66" w:rsidRPr="00BF0527" w:rsidRDefault="000A2B66" w:rsidP="00BE7471">
            <w:r w:rsidRPr="00BF0527">
              <w:t>Es un menú de servicios estandarizados disponible para las entidades de todas las oficinas del PNUD y su costo de transacción correspondiente.</w:t>
            </w:r>
          </w:p>
        </w:tc>
      </w:tr>
      <w:tr w:rsidR="000A2B66" w:rsidRPr="00BF0527" w14:paraId="0B3B1BC4" w14:textId="77777777" w:rsidTr="0014096A">
        <w:tc>
          <w:tcPr>
            <w:tcW w:w="2268" w:type="dxa"/>
          </w:tcPr>
          <w:p w14:paraId="50FDBFB0" w14:textId="77777777" w:rsidR="000A2B66" w:rsidRPr="00BF0527" w:rsidRDefault="000A2B66" w:rsidP="00FE0EFB">
            <w:pPr>
              <w:rPr>
                <w:lang w:val="en-GB"/>
              </w:rPr>
            </w:pPr>
            <w:proofErr w:type="spellStart"/>
            <w:r w:rsidRPr="00BF0527">
              <w:rPr>
                <w:lang w:val="en-GB"/>
              </w:rPr>
              <w:t>Vermifilter</w:t>
            </w:r>
            <w:proofErr w:type="spellEnd"/>
          </w:p>
        </w:tc>
        <w:tc>
          <w:tcPr>
            <w:tcW w:w="5102" w:type="dxa"/>
          </w:tcPr>
          <w:p w14:paraId="31AF9403" w14:textId="77777777" w:rsidR="000A2B66" w:rsidRPr="00905F3B" w:rsidRDefault="000A2B66" w:rsidP="00FE0EFB">
            <w:pPr>
              <w:rPr>
                <w:lang w:val="en-GB"/>
              </w:rPr>
            </w:pPr>
            <w:proofErr w:type="spellStart"/>
            <w:r w:rsidRPr="00905F3B">
              <w:rPr>
                <w:lang w:val="en-GB"/>
              </w:rPr>
              <w:t>Vermifilters</w:t>
            </w:r>
            <w:proofErr w:type="spellEnd"/>
            <w:r w:rsidRPr="00905F3B">
              <w:rPr>
                <w:lang w:val="en-GB"/>
              </w:rPr>
              <w:t xml:space="preserve"> are a type of wastewater treatment biofilter that include aerobic bacteria and earthworms.</w:t>
            </w:r>
          </w:p>
        </w:tc>
        <w:tc>
          <w:tcPr>
            <w:tcW w:w="2268" w:type="dxa"/>
          </w:tcPr>
          <w:p w14:paraId="37CDFF19" w14:textId="77777777" w:rsidR="000A2B66" w:rsidRPr="00BF0527" w:rsidRDefault="000A2B66" w:rsidP="00FE0EFB">
            <w:proofErr w:type="spellStart"/>
            <w:r w:rsidRPr="00BF0527">
              <w:t>Vermifiltro</w:t>
            </w:r>
            <w:proofErr w:type="spellEnd"/>
          </w:p>
        </w:tc>
        <w:tc>
          <w:tcPr>
            <w:tcW w:w="5102" w:type="dxa"/>
          </w:tcPr>
          <w:p w14:paraId="74C02AE9" w14:textId="77777777" w:rsidR="000A2B66" w:rsidRPr="00BF0527" w:rsidRDefault="000A2B66" w:rsidP="004B6E32">
            <w:pPr>
              <w:tabs>
                <w:tab w:val="left" w:pos="930"/>
              </w:tabs>
            </w:pPr>
            <w:r w:rsidRPr="00BF0527">
              <w:t xml:space="preserve">Los </w:t>
            </w:r>
            <w:proofErr w:type="spellStart"/>
            <w:r w:rsidRPr="00BF0527">
              <w:t>vermifiltros</w:t>
            </w:r>
            <w:proofErr w:type="spellEnd"/>
            <w:r w:rsidRPr="00BF0527">
              <w:t xml:space="preserve"> son un tipo de biofiltro de tratamiento de aguas residuales que incluye bacterias aeróbicas y lombrices de tierra.</w:t>
            </w:r>
          </w:p>
        </w:tc>
      </w:tr>
      <w:tr w:rsidR="000A2B66" w:rsidRPr="00BF0527" w14:paraId="34ABEA62" w14:textId="77777777" w:rsidTr="0014096A">
        <w:tc>
          <w:tcPr>
            <w:tcW w:w="2268" w:type="dxa"/>
          </w:tcPr>
          <w:p w14:paraId="75A4F010" w14:textId="77777777" w:rsidR="000A2B66" w:rsidRPr="00BF0527" w:rsidRDefault="000A2B66" w:rsidP="00FE0EFB">
            <w:pPr>
              <w:rPr>
                <w:lang w:val="en-GB"/>
              </w:rPr>
            </w:pPr>
            <w:r w:rsidRPr="00BF0527">
              <w:rPr>
                <w:lang w:val="en-GB"/>
              </w:rPr>
              <w:t>Visit</w:t>
            </w:r>
          </w:p>
        </w:tc>
        <w:tc>
          <w:tcPr>
            <w:tcW w:w="5102" w:type="dxa"/>
          </w:tcPr>
          <w:p w14:paraId="539A890D" w14:textId="77777777" w:rsidR="000A2B66" w:rsidRPr="00905F3B" w:rsidRDefault="000A2B66" w:rsidP="00FE0EFB">
            <w:pPr>
              <w:rPr>
                <w:lang w:val="en-GB"/>
              </w:rPr>
            </w:pPr>
            <w:r w:rsidRPr="00905F3B">
              <w:rPr>
                <w:lang w:val="en-GB"/>
              </w:rPr>
              <w:t>A visit is one individual visitor who arrives at a web site and proceeds to browse. A visit counts all visitors, no matter how many times the same visitor may have been on the site.</w:t>
            </w:r>
          </w:p>
        </w:tc>
        <w:tc>
          <w:tcPr>
            <w:tcW w:w="2268" w:type="dxa"/>
          </w:tcPr>
          <w:p w14:paraId="6A889FA5" w14:textId="77777777" w:rsidR="000A2B66" w:rsidRPr="00BF0527" w:rsidRDefault="000A2B66" w:rsidP="00FE0EFB">
            <w:r w:rsidRPr="00BF0527">
              <w:t>Visita</w:t>
            </w:r>
          </w:p>
        </w:tc>
        <w:tc>
          <w:tcPr>
            <w:tcW w:w="5102" w:type="dxa"/>
          </w:tcPr>
          <w:p w14:paraId="16617AAD" w14:textId="77777777" w:rsidR="000A2B66" w:rsidRPr="00BF0527" w:rsidRDefault="000A2B66" w:rsidP="00FE0EFB">
            <w:r w:rsidRPr="00BF0527">
              <w:t>Una visita es un visitante individual que llega a un sitio web y procede a navegar. Una visita cuenta a todos los visitantes, sin importar cuántas veces el mismo visitante haya estado en el sitio.</w:t>
            </w:r>
          </w:p>
        </w:tc>
      </w:tr>
      <w:tr w:rsidR="000A2B66" w:rsidRPr="00BF0527" w14:paraId="33928BD6" w14:textId="77777777" w:rsidTr="0014096A">
        <w:tc>
          <w:tcPr>
            <w:tcW w:w="2268" w:type="dxa"/>
          </w:tcPr>
          <w:p w14:paraId="424B7988" w14:textId="77777777" w:rsidR="000A2B66" w:rsidRPr="00BF0527" w:rsidRDefault="000A2B66" w:rsidP="00FE0EFB">
            <w:pPr>
              <w:rPr>
                <w:lang w:val="en-GB"/>
              </w:rPr>
            </w:pPr>
            <w:r w:rsidRPr="00BF0527">
              <w:rPr>
                <w:lang w:val="en-GB"/>
              </w:rPr>
              <w:t>Water conservation</w:t>
            </w:r>
          </w:p>
        </w:tc>
        <w:tc>
          <w:tcPr>
            <w:tcW w:w="5102" w:type="dxa"/>
          </w:tcPr>
          <w:p w14:paraId="64823EA1" w14:textId="77777777" w:rsidR="000A2B66" w:rsidRPr="00905F3B" w:rsidRDefault="000A2B66" w:rsidP="00FE0EFB">
            <w:pPr>
              <w:rPr>
                <w:lang w:val="en-GB"/>
              </w:rPr>
            </w:pPr>
            <w:r w:rsidRPr="00905F3B">
              <w:rPr>
                <w:lang w:val="en-GB"/>
              </w:rPr>
              <w:t>Water conservation refers to the preservation, control and development of water resources, both surface and groundwater, and prevention of pollution (UN. 1997).</w:t>
            </w:r>
          </w:p>
        </w:tc>
        <w:tc>
          <w:tcPr>
            <w:tcW w:w="2268" w:type="dxa"/>
          </w:tcPr>
          <w:p w14:paraId="73A999BA" w14:textId="77777777" w:rsidR="000A2B66" w:rsidRPr="00BF0527" w:rsidRDefault="000A2B66" w:rsidP="00FE0EFB">
            <w:r w:rsidRPr="00BF0527">
              <w:t>Conservación del agua</w:t>
            </w:r>
          </w:p>
        </w:tc>
        <w:tc>
          <w:tcPr>
            <w:tcW w:w="5102" w:type="dxa"/>
          </w:tcPr>
          <w:p w14:paraId="4C7B5C58" w14:textId="77777777" w:rsidR="000A2B66" w:rsidRPr="00BF0527" w:rsidRDefault="000A2B66" w:rsidP="00FE0EFB">
            <w:r w:rsidRPr="00BF0527">
              <w:t>La conservación del agua se refiere a la preservación, control y desarrollo de los recursos hídricos, tanto superficiales como subterráneos, y la prevención de la contaminación (UN, 1997).</w:t>
            </w:r>
          </w:p>
        </w:tc>
      </w:tr>
      <w:tr w:rsidR="000A2B66" w:rsidRPr="00BF0527" w14:paraId="7199E022" w14:textId="77777777" w:rsidTr="0014096A">
        <w:tc>
          <w:tcPr>
            <w:tcW w:w="2268" w:type="dxa"/>
          </w:tcPr>
          <w:p w14:paraId="180B71DA" w14:textId="77777777" w:rsidR="000A2B66" w:rsidRPr="00ED4200" w:rsidRDefault="000A2B66" w:rsidP="00FE0EFB">
            <w:pPr>
              <w:rPr>
                <w:lang w:val="en-GB"/>
              </w:rPr>
            </w:pPr>
            <w:r>
              <w:rPr>
                <w:lang w:val="en-GB"/>
              </w:rPr>
              <w:t>Water diplomacy</w:t>
            </w:r>
          </w:p>
        </w:tc>
        <w:tc>
          <w:tcPr>
            <w:tcW w:w="5102" w:type="dxa"/>
          </w:tcPr>
          <w:p w14:paraId="0A1B7B42" w14:textId="77777777" w:rsidR="000A2B66" w:rsidRPr="00905F3B" w:rsidRDefault="000A2B66" w:rsidP="00FE0EFB">
            <w:pPr>
              <w:rPr>
                <w:lang w:val="en-GB"/>
              </w:rPr>
            </w:pPr>
            <w:r w:rsidRPr="009014BE">
              <w:rPr>
                <w:lang w:val="en-GB"/>
              </w:rPr>
              <w:t>Water   Diplomacy   is   a   branch   of   diplomacy, applied   to   bilateral   and   multilateral   negotiations on water issues between and among states.  Water diplomacy is about dialogue, negotiation and reconciling conflicting interests among riparian states.  It involves the institutional capacity and power politics of states</w:t>
            </w:r>
            <w:r>
              <w:rPr>
                <w:lang w:val="en-GB"/>
              </w:rPr>
              <w:t xml:space="preserve"> (</w:t>
            </w:r>
            <w:proofErr w:type="spellStart"/>
            <w:r>
              <w:rPr>
                <w:lang w:val="en-GB"/>
              </w:rPr>
              <w:t>Hefny</w:t>
            </w:r>
            <w:proofErr w:type="spellEnd"/>
            <w:r>
              <w:rPr>
                <w:lang w:val="en-GB"/>
              </w:rPr>
              <w:t>, 2011)</w:t>
            </w:r>
            <w:r w:rsidRPr="009014BE">
              <w:rPr>
                <w:lang w:val="en-GB"/>
              </w:rPr>
              <w:t>.</w:t>
            </w:r>
            <w:r>
              <w:rPr>
                <w:lang w:val="en-GB"/>
              </w:rPr>
              <w:t xml:space="preserve"> </w:t>
            </w:r>
            <w:r w:rsidRPr="009014BE">
              <w:rPr>
                <w:lang w:val="en-GB"/>
              </w:rPr>
              <w:t>Water diplomacy can be defined as the use of diplomatic instruments to existing or emerging disagreements and conflicts over shared water resources with the aim to solve or mitigate those for the sake of cooperation, regional stability, and peace</w:t>
            </w:r>
            <w:r>
              <w:rPr>
                <w:lang w:val="en-GB"/>
              </w:rPr>
              <w:t xml:space="preserve"> (</w:t>
            </w:r>
            <w:proofErr w:type="spellStart"/>
            <w:r w:rsidRPr="009014BE">
              <w:rPr>
                <w:lang w:val="en-GB"/>
              </w:rPr>
              <w:t>Schmeier</w:t>
            </w:r>
            <w:proofErr w:type="spellEnd"/>
            <w:r w:rsidRPr="009014BE">
              <w:rPr>
                <w:lang w:val="en-GB"/>
              </w:rPr>
              <w:t>,</w:t>
            </w:r>
            <w:r>
              <w:rPr>
                <w:lang w:val="en-GB"/>
              </w:rPr>
              <w:t xml:space="preserve"> </w:t>
            </w:r>
            <w:r w:rsidRPr="009014BE">
              <w:rPr>
                <w:lang w:val="en-GB"/>
              </w:rPr>
              <w:t>2018</w:t>
            </w:r>
            <w:r>
              <w:rPr>
                <w:lang w:val="en-GB"/>
              </w:rPr>
              <w:t>).</w:t>
            </w:r>
          </w:p>
        </w:tc>
        <w:tc>
          <w:tcPr>
            <w:tcW w:w="2268" w:type="dxa"/>
          </w:tcPr>
          <w:p w14:paraId="5B545C41" w14:textId="77777777" w:rsidR="000A2B66" w:rsidRDefault="000A2B66" w:rsidP="00FE0EFB">
            <w:r w:rsidRPr="009014BE">
              <w:t>Diplomacia del agua</w:t>
            </w:r>
          </w:p>
        </w:tc>
        <w:tc>
          <w:tcPr>
            <w:tcW w:w="5102" w:type="dxa"/>
          </w:tcPr>
          <w:p w14:paraId="4E641C2E" w14:textId="77777777" w:rsidR="000A2B66" w:rsidRPr="00ED4200" w:rsidRDefault="000A2B66" w:rsidP="00FE0EFB">
            <w:r w:rsidRPr="009014BE">
              <w:t>La diplomacia del agua es una rama de la diplomacia, aplicada a las negociaciones bilaterales y multilaterales sobre temas relacionados con el agua entre los estados. La diplomacia del agua se trata del diálogo, la negociación y la reconciliación de intereses en conflicto entre los estados ribereños. Implica la capacidad institucional y las políticas de poder de los estados (</w:t>
            </w:r>
            <w:proofErr w:type="spellStart"/>
            <w:r w:rsidRPr="009014BE">
              <w:t>Hefny</w:t>
            </w:r>
            <w:proofErr w:type="spellEnd"/>
            <w:r w:rsidRPr="009014BE">
              <w:t>, 2011). La diplomacia del agua se puede definir como el uso de instrumentos diplomáticos para abordar los desacuerdos existentes o emergentes y los conflictos sobre los recursos hídricos compartidos con el objetivo de resolverlos o mitigarlos en aras de la cooperación, la estabilidad regional y la paz (</w:t>
            </w:r>
            <w:proofErr w:type="spellStart"/>
            <w:r w:rsidRPr="009014BE">
              <w:t>Schmeier</w:t>
            </w:r>
            <w:proofErr w:type="spellEnd"/>
            <w:r w:rsidRPr="009014BE">
              <w:t>, 2018).</w:t>
            </w:r>
          </w:p>
        </w:tc>
      </w:tr>
      <w:tr w:rsidR="000A2B66" w:rsidRPr="00BF0527" w14:paraId="7DB5A1D2" w14:textId="77777777" w:rsidTr="0014096A">
        <w:tc>
          <w:tcPr>
            <w:tcW w:w="2268" w:type="dxa"/>
          </w:tcPr>
          <w:p w14:paraId="373866DF" w14:textId="77777777" w:rsidR="000A2B66" w:rsidRPr="00BF0527" w:rsidRDefault="000A2B66" w:rsidP="00FE0EFB">
            <w:pPr>
              <w:rPr>
                <w:lang w:val="en-GB"/>
              </w:rPr>
            </w:pPr>
            <w:r>
              <w:rPr>
                <w:lang w:val="en-GB"/>
              </w:rPr>
              <w:t>Water governance</w:t>
            </w:r>
          </w:p>
        </w:tc>
        <w:tc>
          <w:tcPr>
            <w:tcW w:w="5102" w:type="dxa"/>
          </w:tcPr>
          <w:p w14:paraId="09CF4FDB" w14:textId="77777777" w:rsidR="000A2B66" w:rsidRPr="00905F3B" w:rsidRDefault="000A2B66" w:rsidP="00E5046D">
            <w:pPr>
              <w:rPr>
                <w:lang w:val="en-GB"/>
              </w:rPr>
            </w:pPr>
            <w:r w:rsidRPr="00905F3B">
              <w:rPr>
                <w:lang w:val="en-GB"/>
              </w:rPr>
              <w:t xml:space="preserve">The range of political, institutional and administrative rules, practices and processes (formal and informal) through which decisions are taken and implemented, stakeholders can articulate their interests and have their concerns considered, and decision </w:t>
            </w:r>
            <w:proofErr w:type="gramStart"/>
            <w:r w:rsidRPr="00905F3B">
              <w:rPr>
                <w:lang w:val="en-GB"/>
              </w:rPr>
              <w:t>makers  are</w:t>
            </w:r>
            <w:proofErr w:type="gramEnd"/>
            <w:r w:rsidRPr="00905F3B">
              <w:rPr>
                <w:lang w:val="en-GB"/>
              </w:rPr>
              <w:t xml:space="preserve">  held  accountable  for  water management (OECD, 2015). </w:t>
            </w:r>
          </w:p>
        </w:tc>
        <w:tc>
          <w:tcPr>
            <w:tcW w:w="2268" w:type="dxa"/>
          </w:tcPr>
          <w:p w14:paraId="71374C0A" w14:textId="77777777" w:rsidR="000A2B66" w:rsidRPr="00BF0527" w:rsidRDefault="000A2B66" w:rsidP="00FE0EFB">
            <w:r>
              <w:t>Gobernanza del agua</w:t>
            </w:r>
          </w:p>
        </w:tc>
        <w:tc>
          <w:tcPr>
            <w:tcW w:w="5102" w:type="dxa"/>
          </w:tcPr>
          <w:p w14:paraId="716D0069" w14:textId="77777777" w:rsidR="000A2B66" w:rsidRPr="00BF0527" w:rsidRDefault="000A2B66" w:rsidP="00FE0EFB">
            <w:r w:rsidRPr="00905F3B">
              <w:t>La gama de reglas, prácticas y procesos políticos, institucionales y administrativos (formales e informales) a través de los cuales se toman e implementan las decisiones, las partes interesadas pueden expresar sus intereses y que se tengan en cuenta sus preocupaciones, y los responsables de tomar decisiones son responsables de la gestión del agua (OCDE, 2015 ).</w:t>
            </w:r>
          </w:p>
        </w:tc>
      </w:tr>
      <w:tr w:rsidR="000A2B66" w:rsidRPr="00BF0527" w14:paraId="2445FBFE" w14:textId="77777777" w:rsidTr="0014096A">
        <w:tc>
          <w:tcPr>
            <w:tcW w:w="2268" w:type="dxa"/>
          </w:tcPr>
          <w:p w14:paraId="3C0DE1DC" w14:textId="77777777" w:rsidR="000A2B66" w:rsidRPr="00BF0527" w:rsidRDefault="000A2B66" w:rsidP="002D5943">
            <w:pPr>
              <w:rPr>
                <w:lang w:val="en-GB"/>
              </w:rPr>
            </w:pPr>
            <w:r w:rsidRPr="00BF0527">
              <w:rPr>
                <w:lang w:val="en-GB"/>
              </w:rPr>
              <w:t>Women’s empowerment</w:t>
            </w:r>
          </w:p>
        </w:tc>
        <w:tc>
          <w:tcPr>
            <w:tcW w:w="5102" w:type="dxa"/>
          </w:tcPr>
          <w:p w14:paraId="7B9E9666" w14:textId="77777777" w:rsidR="000A2B66" w:rsidRPr="00905F3B" w:rsidRDefault="000A2B66" w:rsidP="002D5943">
            <w:pPr>
              <w:rPr>
                <w:lang w:val="en-GB"/>
              </w:rPr>
            </w:pPr>
            <w:r w:rsidRPr="00905F3B">
              <w:rPr>
                <w:lang w:val="en-GB"/>
              </w:rPr>
              <w:t>Women’s empowerment has five components: Women’s sense of self-worth; their right to have and to determine choices; their right to have access to opportunities and resources; their right to have the power to control their own lives, both within and outside the home; and their ability to influence the direction of social change to create a more just social and economic order, nationally and internationally.</w:t>
            </w:r>
          </w:p>
          <w:p w14:paraId="0DFCD353" w14:textId="77777777" w:rsidR="000A2B66" w:rsidRPr="00905F3B" w:rsidRDefault="000A2B66" w:rsidP="002D5943">
            <w:pPr>
              <w:rPr>
                <w:lang w:val="en-GB"/>
              </w:rPr>
            </w:pPr>
            <w:r w:rsidRPr="00905F3B">
              <w:rPr>
                <w:lang w:val="en-GB"/>
              </w:rPr>
              <w:t>The concept of empowerment is related to gender equality but distinct from it. The core of empowerment lies in the ability of a woman to control her own destiny. This implies that to be empowered women must not only have equal capabilities (such as education and health) and equal access to resources and opportunities (such as land and employment), they must also have the agency to use those rights, capabilities, resources and opportunities to make strategic choices and decisions (such as are provided through leadership opportunities and participation in political institutions. And to exercise agency, women must live without the fear of coercion and violence (Grown et al., 2005; PNUD, 2014b).</w:t>
            </w:r>
          </w:p>
        </w:tc>
        <w:tc>
          <w:tcPr>
            <w:tcW w:w="2268" w:type="dxa"/>
          </w:tcPr>
          <w:p w14:paraId="3743CBD4" w14:textId="77777777" w:rsidR="000A2B66" w:rsidRPr="00BF0527" w:rsidRDefault="000A2B66" w:rsidP="002D5943">
            <w:r w:rsidRPr="00BF0527">
              <w:t>Empoderamiento de las mujeres</w:t>
            </w:r>
          </w:p>
        </w:tc>
        <w:tc>
          <w:tcPr>
            <w:tcW w:w="5102" w:type="dxa"/>
          </w:tcPr>
          <w:p w14:paraId="3EEF5217" w14:textId="77777777" w:rsidR="000A2B66" w:rsidRPr="00BF0527" w:rsidRDefault="000A2B66" w:rsidP="002D5943">
            <w:r w:rsidRPr="00BF0527">
              <w:t>El empoderamiento de las mujeres tiene cinco componentes: el sentido de autoestima de la mujer; su derecho a ejercer y determinar opciones; su derecho a tener acceso a oportunidades y recursos; su derecho al poder para controlar su propia vida, tanto dentro del hogar como fuera de éste; y su capacidad para determinar la orientación del cambio social para crear un orden económico y social más justo a nivel nacional e internacional.</w:t>
            </w:r>
          </w:p>
          <w:p w14:paraId="7E2D2088" w14:textId="77777777" w:rsidR="000A2B66" w:rsidRPr="00BF0527" w:rsidRDefault="000A2B66" w:rsidP="00B72403">
            <w:r w:rsidRPr="00BF0527">
              <w:t>El concepto de empoderamiento guarda relación con la igualdad de género, pero se distingue de éste. el fundamento del empoderamiento reside en la capacidad de una mujer de controlar su propio destino. esto supone que, para estar empoderadas, las mujeres no sólo deben tener las mismas capacidades (como la educación y la salud) y el mismo acceso a los recursos y oportunidades (como la tierra y el empleo), sino que también deben tener los medios para utilizar esos derechos, capacidades, recursos y oportunidades a fin de ejercer opciones y tomar decisiones estratégicas (como las que brindan las oportunidades de liderazgo y la participación en las instituciones políticas) para valerse de esos medios, las mujeres deben vivir sin miedo a la coacción y a la violencia (</w:t>
            </w:r>
            <w:proofErr w:type="spellStart"/>
            <w:r w:rsidRPr="00BF0527">
              <w:t>Grown</w:t>
            </w:r>
            <w:proofErr w:type="spellEnd"/>
            <w:r w:rsidRPr="00BF0527">
              <w:t xml:space="preserve"> et al., 2005; PNUD, 2014).</w:t>
            </w:r>
          </w:p>
        </w:tc>
      </w:tr>
    </w:tbl>
    <w:p w14:paraId="51F5B209" w14:textId="77777777" w:rsidR="001C20A4" w:rsidRPr="00BF0527" w:rsidRDefault="001C20A4">
      <w:pPr>
        <w:rPr>
          <w:lang w:val="en-GB"/>
        </w:rPr>
      </w:pPr>
    </w:p>
    <w:sectPr w:rsidR="001C20A4" w:rsidRPr="00BF0527" w:rsidSect="009014BE">
      <w:footerReference w:type="default" r:id="rId7"/>
      <w:pgSz w:w="16838" w:h="11906" w:orient="landscape" w:code="9"/>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A92C6D" w14:textId="77777777" w:rsidR="00E13765" w:rsidRDefault="00E13765" w:rsidP="00F54DA7">
      <w:pPr>
        <w:spacing w:before="0" w:after="0"/>
      </w:pPr>
      <w:r>
        <w:separator/>
      </w:r>
    </w:p>
  </w:endnote>
  <w:endnote w:type="continuationSeparator" w:id="0">
    <w:p w14:paraId="26748B35" w14:textId="77777777" w:rsidR="00E13765" w:rsidRDefault="00E13765" w:rsidP="00F54DA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9872903"/>
      <w:docPartObj>
        <w:docPartGallery w:val="Page Numbers (Bottom of Page)"/>
        <w:docPartUnique/>
      </w:docPartObj>
    </w:sdtPr>
    <w:sdtEndPr/>
    <w:sdtContent>
      <w:sdt>
        <w:sdtPr>
          <w:id w:val="1728636285"/>
          <w:docPartObj>
            <w:docPartGallery w:val="Page Numbers (Top of Page)"/>
            <w:docPartUnique/>
          </w:docPartObj>
        </w:sdtPr>
        <w:sdtEndPr/>
        <w:sdtContent>
          <w:p w14:paraId="48A5952F" w14:textId="1625F8DF" w:rsidR="00F54DA7" w:rsidRDefault="00F54DA7" w:rsidP="00F54DA7">
            <w:pPr>
              <w:pStyle w:val="Footer"/>
              <w:jc w:val="center"/>
            </w:pPr>
            <w:r>
              <w:rPr>
                <w:lang w:val="es-ES"/>
              </w:rPr>
              <w:t xml:space="preserve">Página </w:t>
            </w:r>
            <w:r>
              <w:rPr>
                <w:b/>
                <w:bCs/>
                <w:szCs w:val="24"/>
              </w:rPr>
              <w:fldChar w:fldCharType="begin"/>
            </w:r>
            <w:r>
              <w:rPr>
                <w:b/>
                <w:bCs/>
              </w:rPr>
              <w:instrText>PAGE</w:instrText>
            </w:r>
            <w:r>
              <w:rPr>
                <w:b/>
                <w:bCs/>
                <w:szCs w:val="24"/>
              </w:rPr>
              <w:fldChar w:fldCharType="separate"/>
            </w:r>
            <w:r>
              <w:rPr>
                <w:b/>
                <w:bCs/>
                <w:lang w:val="es-ES"/>
              </w:rPr>
              <w:t>2</w:t>
            </w:r>
            <w:r>
              <w:rPr>
                <w:b/>
                <w:bCs/>
                <w:szCs w:val="24"/>
              </w:rPr>
              <w:fldChar w:fldCharType="end"/>
            </w:r>
            <w:r>
              <w:rPr>
                <w:lang w:val="es-ES"/>
              </w:rPr>
              <w:t xml:space="preserve"> de </w:t>
            </w:r>
            <w:r>
              <w:rPr>
                <w:b/>
                <w:bCs/>
                <w:szCs w:val="24"/>
              </w:rPr>
              <w:fldChar w:fldCharType="begin"/>
            </w:r>
            <w:r>
              <w:rPr>
                <w:b/>
                <w:bCs/>
              </w:rPr>
              <w:instrText>NUMPAGES</w:instrText>
            </w:r>
            <w:r>
              <w:rPr>
                <w:b/>
                <w:bCs/>
                <w:szCs w:val="24"/>
              </w:rPr>
              <w:fldChar w:fldCharType="separate"/>
            </w:r>
            <w:r>
              <w:rPr>
                <w:b/>
                <w:bCs/>
                <w:lang w:val="es-ES"/>
              </w:rPr>
              <w:t>2</w:t>
            </w:r>
            <w:r>
              <w:rPr>
                <w:b/>
                <w:bCs/>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9E9A28" w14:textId="77777777" w:rsidR="00E13765" w:rsidRDefault="00E13765" w:rsidP="00F54DA7">
      <w:pPr>
        <w:spacing w:before="0" w:after="0"/>
      </w:pPr>
      <w:r>
        <w:separator/>
      </w:r>
    </w:p>
  </w:footnote>
  <w:footnote w:type="continuationSeparator" w:id="0">
    <w:p w14:paraId="4F83CA7F" w14:textId="77777777" w:rsidR="00E13765" w:rsidRDefault="00E13765" w:rsidP="00F54DA7">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35273D"/>
    <w:multiLevelType w:val="hybridMultilevel"/>
    <w:tmpl w:val="2848D1AC"/>
    <w:lvl w:ilvl="0" w:tplc="30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7B7216B8"/>
    <w:multiLevelType w:val="hybridMultilevel"/>
    <w:tmpl w:val="8D3A4CD2"/>
    <w:lvl w:ilvl="0" w:tplc="300A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6D4"/>
    <w:rsid w:val="0002686E"/>
    <w:rsid w:val="00047236"/>
    <w:rsid w:val="000A2B66"/>
    <w:rsid w:val="000D77D1"/>
    <w:rsid w:val="000E389E"/>
    <w:rsid w:val="000F6220"/>
    <w:rsid w:val="00107352"/>
    <w:rsid w:val="00120184"/>
    <w:rsid w:val="00123BAF"/>
    <w:rsid w:val="0014096A"/>
    <w:rsid w:val="00144485"/>
    <w:rsid w:val="0015543F"/>
    <w:rsid w:val="001579A0"/>
    <w:rsid w:val="00160698"/>
    <w:rsid w:val="001722FC"/>
    <w:rsid w:val="00190357"/>
    <w:rsid w:val="001C20A4"/>
    <w:rsid w:val="001C6EED"/>
    <w:rsid w:val="001E0017"/>
    <w:rsid w:val="002043DE"/>
    <w:rsid w:val="002061A8"/>
    <w:rsid w:val="0021396B"/>
    <w:rsid w:val="00214DD8"/>
    <w:rsid w:val="00230225"/>
    <w:rsid w:val="002424E5"/>
    <w:rsid w:val="00247DD6"/>
    <w:rsid w:val="002C5F94"/>
    <w:rsid w:val="002D5943"/>
    <w:rsid w:val="002D7D3F"/>
    <w:rsid w:val="002D7EC2"/>
    <w:rsid w:val="002F6521"/>
    <w:rsid w:val="00310525"/>
    <w:rsid w:val="00325501"/>
    <w:rsid w:val="003412ED"/>
    <w:rsid w:val="003425F9"/>
    <w:rsid w:val="00351586"/>
    <w:rsid w:val="00367344"/>
    <w:rsid w:val="00382D96"/>
    <w:rsid w:val="0038598F"/>
    <w:rsid w:val="003A0EDF"/>
    <w:rsid w:val="003B0E7B"/>
    <w:rsid w:val="003C3190"/>
    <w:rsid w:val="003C7610"/>
    <w:rsid w:val="003D5502"/>
    <w:rsid w:val="003E13C7"/>
    <w:rsid w:val="003F4918"/>
    <w:rsid w:val="004015D7"/>
    <w:rsid w:val="00403E6A"/>
    <w:rsid w:val="00467102"/>
    <w:rsid w:val="00493697"/>
    <w:rsid w:val="004B4BBB"/>
    <w:rsid w:val="004B6E32"/>
    <w:rsid w:val="004B74A5"/>
    <w:rsid w:val="004C0939"/>
    <w:rsid w:val="004C13B0"/>
    <w:rsid w:val="004F577E"/>
    <w:rsid w:val="00513E4A"/>
    <w:rsid w:val="00550E35"/>
    <w:rsid w:val="005516AB"/>
    <w:rsid w:val="005A4F30"/>
    <w:rsid w:val="005B492E"/>
    <w:rsid w:val="005C074F"/>
    <w:rsid w:val="005C1C8A"/>
    <w:rsid w:val="00605E11"/>
    <w:rsid w:val="0061458F"/>
    <w:rsid w:val="00623151"/>
    <w:rsid w:val="00633255"/>
    <w:rsid w:val="0066198D"/>
    <w:rsid w:val="006667FD"/>
    <w:rsid w:val="00680C3E"/>
    <w:rsid w:val="00690A76"/>
    <w:rsid w:val="006C462F"/>
    <w:rsid w:val="007159F1"/>
    <w:rsid w:val="00732967"/>
    <w:rsid w:val="007356D4"/>
    <w:rsid w:val="00772A17"/>
    <w:rsid w:val="007A3DFE"/>
    <w:rsid w:val="007D14FA"/>
    <w:rsid w:val="007D55C9"/>
    <w:rsid w:val="0088605B"/>
    <w:rsid w:val="008A043A"/>
    <w:rsid w:val="008A2EA3"/>
    <w:rsid w:val="008A5A91"/>
    <w:rsid w:val="008D23C0"/>
    <w:rsid w:val="008E1BD6"/>
    <w:rsid w:val="008E33E9"/>
    <w:rsid w:val="009014BE"/>
    <w:rsid w:val="00905F3B"/>
    <w:rsid w:val="0091391D"/>
    <w:rsid w:val="00920555"/>
    <w:rsid w:val="00923FF2"/>
    <w:rsid w:val="009517E2"/>
    <w:rsid w:val="009555B2"/>
    <w:rsid w:val="009759D6"/>
    <w:rsid w:val="00987A26"/>
    <w:rsid w:val="00994210"/>
    <w:rsid w:val="009B6515"/>
    <w:rsid w:val="009F4B7B"/>
    <w:rsid w:val="00A05E10"/>
    <w:rsid w:val="00A1237F"/>
    <w:rsid w:val="00A64C05"/>
    <w:rsid w:val="00A77B29"/>
    <w:rsid w:val="00A95146"/>
    <w:rsid w:val="00AA0096"/>
    <w:rsid w:val="00AA0ED5"/>
    <w:rsid w:val="00AD6F81"/>
    <w:rsid w:val="00B0438D"/>
    <w:rsid w:val="00B12597"/>
    <w:rsid w:val="00B209D5"/>
    <w:rsid w:val="00B47A31"/>
    <w:rsid w:val="00B55F51"/>
    <w:rsid w:val="00B615B2"/>
    <w:rsid w:val="00B71451"/>
    <w:rsid w:val="00B72403"/>
    <w:rsid w:val="00BB6B89"/>
    <w:rsid w:val="00BE5FEE"/>
    <w:rsid w:val="00BE7471"/>
    <w:rsid w:val="00BF0527"/>
    <w:rsid w:val="00C313A9"/>
    <w:rsid w:val="00C3680D"/>
    <w:rsid w:val="00CC67DA"/>
    <w:rsid w:val="00CD1274"/>
    <w:rsid w:val="00CD4C4D"/>
    <w:rsid w:val="00CD6948"/>
    <w:rsid w:val="00CE0536"/>
    <w:rsid w:val="00D02A52"/>
    <w:rsid w:val="00D16C75"/>
    <w:rsid w:val="00D33B89"/>
    <w:rsid w:val="00DA244A"/>
    <w:rsid w:val="00DC3529"/>
    <w:rsid w:val="00DC44ED"/>
    <w:rsid w:val="00DC7322"/>
    <w:rsid w:val="00E13765"/>
    <w:rsid w:val="00E5046D"/>
    <w:rsid w:val="00E60387"/>
    <w:rsid w:val="00E70B9E"/>
    <w:rsid w:val="00E712EA"/>
    <w:rsid w:val="00E859C1"/>
    <w:rsid w:val="00ED2038"/>
    <w:rsid w:val="00ED4200"/>
    <w:rsid w:val="00ED7FBE"/>
    <w:rsid w:val="00EF6152"/>
    <w:rsid w:val="00EF6BFE"/>
    <w:rsid w:val="00F537E9"/>
    <w:rsid w:val="00F54DA7"/>
    <w:rsid w:val="00F5702A"/>
    <w:rsid w:val="00FB32C1"/>
    <w:rsid w:val="00FB3452"/>
    <w:rsid w:val="00FB70D4"/>
    <w:rsid w:val="00FE0EFB"/>
    <w:rsid w:val="00FE770A"/>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077B8"/>
  <w15:chartTrackingRefBased/>
  <w15:docId w15:val="{E503A8DA-E428-486E-9B69-515718EDD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1BD6"/>
    <w:pPr>
      <w:spacing w:before="120" w:after="120" w:line="240" w:lineRule="auto"/>
    </w:pPr>
    <w:rPr>
      <w:rFonts w:ascii="Arial" w:hAnsi="Arial"/>
      <w:sz w:val="24"/>
    </w:rPr>
  </w:style>
  <w:style w:type="paragraph" w:styleId="Heading1">
    <w:name w:val="heading 1"/>
    <w:basedOn w:val="Normal"/>
    <w:next w:val="Normal"/>
    <w:link w:val="Heading1Char"/>
    <w:uiPriority w:val="9"/>
    <w:qFormat/>
    <w:rsid w:val="00382D96"/>
    <w:pPr>
      <w:keepNext/>
      <w:keepLines/>
      <w:spacing w:before="360" w:after="240"/>
      <w:outlineLvl w:val="0"/>
    </w:pPr>
    <w:rPr>
      <w:rFonts w:asciiTheme="majorHAnsi" w:eastAsiaTheme="majorEastAsia" w:hAnsiTheme="majorHAnsi" w:cstheme="majorBidi"/>
      <w:b/>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D96"/>
    <w:rPr>
      <w:rFonts w:asciiTheme="majorHAnsi" w:eastAsiaTheme="majorEastAsia" w:hAnsiTheme="majorHAnsi" w:cstheme="majorBidi"/>
      <w:b/>
      <w:sz w:val="32"/>
      <w:szCs w:val="32"/>
    </w:rPr>
  </w:style>
  <w:style w:type="table" w:styleId="TableGrid">
    <w:name w:val="Table Grid"/>
    <w:basedOn w:val="TableNormal"/>
    <w:uiPriority w:val="39"/>
    <w:rsid w:val="00735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7102"/>
    <w:pPr>
      <w:ind w:left="720"/>
      <w:contextualSpacing/>
    </w:pPr>
  </w:style>
  <w:style w:type="paragraph" w:styleId="Header">
    <w:name w:val="header"/>
    <w:basedOn w:val="Normal"/>
    <w:link w:val="HeaderChar"/>
    <w:uiPriority w:val="99"/>
    <w:unhideWhenUsed/>
    <w:rsid w:val="00F54DA7"/>
    <w:pPr>
      <w:tabs>
        <w:tab w:val="center" w:pos="4252"/>
        <w:tab w:val="right" w:pos="8504"/>
      </w:tabs>
      <w:spacing w:before="0" w:after="0"/>
    </w:pPr>
  </w:style>
  <w:style w:type="character" w:customStyle="1" w:styleId="HeaderChar">
    <w:name w:val="Header Char"/>
    <w:basedOn w:val="DefaultParagraphFont"/>
    <w:link w:val="Header"/>
    <w:uiPriority w:val="99"/>
    <w:rsid w:val="00F54DA7"/>
    <w:rPr>
      <w:rFonts w:ascii="Arial" w:hAnsi="Arial"/>
      <w:sz w:val="24"/>
    </w:rPr>
  </w:style>
  <w:style w:type="paragraph" w:styleId="Footer">
    <w:name w:val="footer"/>
    <w:basedOn w:val="Normal"/>
    <w:link w:val="FooterChar"/>
    <w:uiPriority w:val="99"/>
    <w:unhideWhenUsed/>
    <w:rsid w:val="00F54DA7"/>
    <w:pPr>
      <w:tabs>
        <w:tab w:val="center" w:pos="4252"/>
        <w:tab w:val="right" w:pos="8504"/>
      </w:tabs>
      <w:spacing w:before="0" w:after="0"/>
    </w:pPr>
  </w:style>
  <w:style w:type="character" w:customStyle="1" w:styleId="FooterChar">
    <w:name w:val="Footer Char"/>
    <w:basedOn w:val="DefaultParagraphFont"/>
    <w:link w:val="Footer"/>
    <w:uiPriority w:val="99"/>
    <w:rsid w:val="00F54DA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5753 Annex 09</DocumentTitle>
  </documentManagement>
</p:properties>
</file>

<file path=customXml/itemProps1.xml><?xml version="1.0" encoding="utf-8"?>
<ds:datastoreItem xmlns:ds="http://schemas.openxmlformats.org/officeDocument/2006/customXml" ds:itemID="{52383A94-B3E0-4A68-8FDC-1CFED6580D07}"/>
</file>

<file path=customXml/itemProps2.xml><?xml version="1.0" encoding="utf-8"?>
<ds:datastoreItem xmlns:ds="http://schemas.openxmlformats.org/officeDocument/2006/customXml" ds:itemID="{891DB0FE-272D-4EAF-AA66-32807095C459}"/>
</file>

<file path=customXml/itemProps3.xml><?xml version="1.0" encoding="utf-8"?>
<ds:datastoreItem xmlns:ds="http://schemas.openxmlformats.org/officeDocument/2006/customXml" ds:itemID="{743AC767-DA7A-4514-8273-1FFCF5624029}"/>
</file>

<file path=docProps/app.xml><?xml version="1.0" encoding="utf-8"?>
<Properties xmlns="http://schemas.openxmlformats.org/officeDocument/2006/extended-properties" xmlns:vt="http://schemas.openxmlformats.org/officeDocument/2006/docPropsVTypes">
  <Template>Normal.dotm</Template>
  <TotalTime>0</TotalTime>
  <Pages>10</Pages>
  <Words>3639</Words>
  <Characters>20745</Characters>
  <Application>Microsoft Office Word</Application>
  <DocSecurity>0</DocSecurity>
  <Lines>172</Lines>
  <Paragraphs>48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Segundo Coello</dc:creator>
  <cp:keywords/>
  <dc:description/>
  <cp:lastModifiedBy>Carline Jean-Louis</cp:lastModifiedBy>
  <cp:revision>2</cp:revision>
  <dcterms:created xsi:type="dcterms:W3CDTF">2019-05-16T19:37:00Z</dcterms:created>
  <dcterms:modified xsi:type="dcterms:W3CDTF">2019-05-16T19:37:00Z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